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AD527" w14:textId="2BDDE63F" w:rsidR="00DC2A83" w:rsidRDefault="00660493" w:rsidP="00315376">
      <w:pPr>
        <w:pStyle w:val="webtitle"/>
        <w:ind w:firstLine="720"/>
      </w:pPr>
      <w:bookmarkStart w:id="0" w:name="vba_ENGLISH_EntireSection"/>
      <w:r>
        <w:t xml:space="preserve">San Marino: </w:t>
      </w:r>
      <w:bookmarkStart w:id="1" w:name="vba_ENGLISH_BeginTyping"/>
      <w:bookmarkEnd w:id="1"/>
      <w:r>
        <w:t>Dichiarazione Conclusiva dello Staff della Missione 2023 ai sensi dell'Articolo IV</w:t>
      </w:r>
    </w:p>
    <w:p w14:paraId="5A2FDA5C" w14:textId="77777777" w:rsidR="001304F6" w:rsidRPr="00575545" w:rsidRDefault="001304F6" w:rsidP="00F64B9A">
      <w:pPr>
        <w:pStyle w:val="webexclude"/>
      </w:pPr>
      <w:bookmarkStart w:id="2" w:name="PR_StartText"/>
      <w:bookmarkEnd w:id="2"/>
      <w:r>
        <w:t>PUBBLICAZIONE IMMEDIATA</w:t>
      </w:r>
    </w:p>
    <w:tbl>
      <w:tblPr>
        <w:tblStyle w:val="Grigliatabella"/>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370"/>
      </w:tblGrid>
      <w:tr w:rsidR="00AE2BAD" w14:paraId="2D40516D" w14:textId="77777777" w:rsidTr="00F95FDC">
        <w:trPr>
          <w:trHeight w:val="2880"/>
        </w:trPr>
        <w:tc>
          <w:tcPr>
            <w:tcW w:w="8370" w:type="dxa"/>
            <w:shd w:val="clear" w:color="auto" w:fill="D9D9D9" w:themeFill="background1" w:themeFillShade="D9"/>
            <w:vAlign w:val="center"/>
          </w:tcPr>
          <w:p w14:paraId="78D8E72A" w14:textId="77777777" w:rsidR="002E504B" w:rsidRDefault="002E504B" w:rsidP="00F95FDC">
            <w:pPr>
              <w:pStyle w:val="BoxText"/>
              <w:spacing w:after="180" w:line="288" w:lineRule="auto"/>
            </w:pPr>
            <w:r>
              <w:t>Una dichiarazione conclusiva descrive i risultati preliminari dello staff del FMI al termine di una visita ufficiale (o 'missione') condotta dallo staff, nella maggior parte dei casi in un paese membro. Le missioni sono effettuate sotto forma di consultazioni periodiche (di solito annuali) ai sensi dell'</w:t>
            </w:r>
            <w:hyperlink r:id="rId11" w:history="1">
              <w:r>
                <w:rPr>
                  <w:rStyle w:val="Collegamentoipertestuale"/>
                </w:rPr>
                <w:t>Articolo IV</w:t>
              </w:r>
            </w:hyperlink>
            <w:r>
              <w:t xml:space="preserve"> dello Statuto del FMI, nel contesto di una richiesta di risorse del FMI (prestiti dal FMI), nell’ambito di discussioni sui programmi monitorati dallo staff o nell’ambito di altre attività di monitoraggio da parte dello staff sugli sviluppi economici. </w:t>
            </w:r>
          </w:p>
          <w:p w14:paraId="34293E1B" w14:textId="77777777" w:rsidR="00AE2BAD" w:rsidRDefault="002E504B" w:rsidP="00F95FDC">
            <w:pPr>
              <w:pStyle w:val="BoxText"/>
              <w:spacing w:after="0" w:line="288" w:lineRule="auto"/>
            </w:pPr>
            <w:r>
              <w:t>Le autorità hanno acconsentito alla pubblicazione della presente dichiarazione. I pareri espressi nella presente dichiarazione sono espressione delle opinioni dello staff del FMI e non rappresentano necessariamente quelle del Consiglio Esecutivo del FMI. Sulla base dei risultati preliminari di questa missione, lo staff predisporrà un rapporto che, previa approvazione della direzione, sarà presentato al Consiglio Esecutivo del FMI per la relativa discussione e decisione.</w:t>
            </w:r>
          </w:p>
        </w:tc>
      </w:tr>
    </w:tbl>
    <w:p w14:paraId="17807E3E" w14:textId="77777777" w:rsidR="00AE2BAD" w:rsidRDefault="00AE2BAD" w:rsidP="00AE2BAD"/>
    <w:p w14:paraId="60A26A55" w14:textId="5EC4483D" w:rsidR="00660493" w:rsidRDefault="00CA2FDB" w:rsidP="00660493">
      <w:pPr>
        <w:rPr>
          <w:b/>
          <w:bCs/>
        </w:rPr>
      </w:pPr>
      <w:r>
        <w:rPr>
          <w:b/>
        </w:rPr>
        <w:t>28 Settembre 2023</w:t>
      </w:r>
    </w:p>
    <w:p w14:paraId="5B296E37" w14:textId="6D8FF135" w:rsidR="003E63E9" w:rsidRPr="009877B5" w:rsidRDefault="003E63E9" w:rsidP="003E63E9">
      <w:pPr>
        <w:pStyle w:val="ParagraphNumbering"/>
        <w:numPr>
          <w:ilvl w:val="0"/>
          <w:numId w:val="0"/>
        </w:numPr>
        <w:tabs>
          <w:tab w:val="left" w:pos="720"/>
        </w:tabs>
        <w:rPr>
          <w:rFonts w:ascii="Segoe UI" w:eastAsia="Arial" w:hAnsi="Segoe UI" w:cs="Segoe UI"/>
          <w:i/>
          <w:sz w:val="21"/>
          <w:szCs w:val="21"/>
        </w:rPr>
      </w:pPr>
      <w:r>
        <w:rPr>
          <w:rFonts w:ascii="Segoe UI" w:hAnsi="Segoe UI"/>
          <w:i/>
          <w:sz w:val="21"/>
        </w:rPr>
        <w:t xml:space="preserve">Il buon andamento economico di San Marino continua nonostante gli shock esterni e l'indebolimento dell'economia europea. L'attività è stata sostenuta da un settore manifatturiero competitivo e dal boom del turismo, che ha superato i livelli </w:t>
      </w:r>
      <w:proofErr w:type="spellStart"/>
      <w:r>
        <w:rPr>
          <w:rFonts w:ascii="Segoe UI" w:hAnsi="Segoe UI"/>
          <w:i/>
          <w:sz w:val="21"/>
        </w:rPr>
        <w:t>pre-covid</w:t>
      </w:r>
      <w:proofErr w:type="spellEnd"/>
      <w:r>
        <w:rPr>
          <w:rFonts w:ascii="Segoe UI" w:hAnsi="Segoe UI"/>
          <w:i/>
          <w:sz w:val="21"/>
        </w:rPr>
        <w:t xml:space="preserve">. Tuttavia, l'indebolimento della domanda esterna e l'inasprimento delle condizioni finanziarie incideranno sulla crescita futura. Garantire sane riserve di bilancio e del settore finanziario è fondamentale per preservare la stabilità e la fiducia in un'economia </w:t>
      </w:r>
      <w:proofErr w:type="spellStart"/>
      <w:r>
        <w:rPr>
          <w:rFonts w:ascii="Segoe UI" w:hAnsi="Segoe UI"/>
          <w:i/>
          <w:sz w:val="21"/>
        </w:rPr>
        <w:t>euroizzata</w:t>
      </w:r>
      <w:proofErr w:type="spellEnd"/>
      <w:r>
        <w:rPr>
          <w:rFonts w:ascii="Segoe UI" w:hAnsi="Segoe UI"/>
          <w:i/>
          <w:sz w:val="21"/>
        </w:rPr>
        <w:t xml:space="preserve"> come quella sammarinese. In particolare, il recente miglioramento della posizione di bilancio dovrebbe essere consolidato ed esteso. Inoltre, ulteriori sforzi si rendono necessari per affrontare gli elevati NPL e rafforzare la capitalizzazione e la redditività delle banche.</w:t>
      </w:r>
    </w:p>
    <w:p w14:paraId="2E7F0AF3" w14:textId="3C36C61A" w:rsidR="007B62D8" w:rsidRPr="00315008" w:rsidRDefault="00EE1DC9" w:rsidP="00084BDB">
      <w:pPr>
        <w:pStyle w:val="ParagraphNumbering"/>
        <w:numPr>
          <w:ilvl w:val="0"/>
          <w:numId w:val="0"/>
        </w:numPr>
        <w:spacing w:before="160" w:after="0" w:line="300" w:lineRule="auto"/>
        <w:rPr>
          <w:rFonts w:ascii="Segoe UI" w:hAnsi="Segoe UI" w:cs="Segoe UI"/>
          <w:sz w:val="21"/>
          <w:szCs w:val="21"/>
        </w:rPr>
      </w:pPr>
      <w:r>
        <w:rPr>
          <w:rFonts w:ascii="Segoe UI" w:hAnsi="Segoe UI"/>
          <w:b/>
          <w:sz w:val="21"/>
        </w:rPr>
        <w:t xml:space="preserve">La ripresa del settore non finanziario iniziata nel 2014 ha posto l'economia sammarinese in una solida posizione per affrontare gli shock degli ultimi anni. </w:t>
      </w:r>
      <w:r>
        <w:rPr>
          <w:rFonts w:ascii="Segoe UI" w:hAnsi="Segoe UI"/>
          <w:sz w:val="21"/>
        </w:rPr>
        <w:t xml:space="preserve">La crisi finanziaria globale e l’impegno internazionale nell’affrontare i regimi fiscali preferenziali hanno innescato una grave crisi che ha messo fine al modello di attività bancaria di San Marino. La crisi bancaria ha avuto importanti ricadute sul settore non finanziario, amplificate dall'inserimento di San Marino nella </w:t>
      </w:r>
      <w:proofErr w:type="spellStart"/>
      <w:r>
        <w:rPr>
          <w:rFonts w:ascii="Segoe UI" w:hAnsi="Segoe UI"/>
          <w:sz w:val="21"/>
        </w:rPr>
        <w:t>black</w:t>
      </w:r>
      <w:proofErr w:type="spellEnd"/>
      <w:r>
        <w:rPr>
          <w:rFonts w:ascii="Segoe UI" w:hAnsi="Segoe UI"/>
          <w:sz w:val="21"/>
        </w:rPr>
        <w:t xml:space="preserve"> list delle giurisdizioni a regime fiscale privilegiato da parte delle autorità italiane nel periodo 2010-2014. Mentre il contributo del settore finanziario all’attività non si è mai ripreso, il settore non finanziario ha iniziato la ripresa nel 2014, sostenuta dalla competitività del costo del lavoro, dalla solidità dei bilanci e dall'accesso alle banche italiane. Pertanto, il settore delle esportazioni sammarinesi si è trovato in una posizione forte e competitiva nel momento in cui è </w:t>
      </w:r>
      <w:r>
        <w:rPr>
          <w:rFonts w:ascii="Segoe UI" w:hAnsi="Segoe UI"/>
          <w:sz w:val="21"/>
        </w:rPr>
        <w:lastRenderedPageBreak/>
        <w:t>scoppiata la pandemia, contribuendo alla sua notevole resilienza durante quel periodo e alla sua forte ripresa successiva che continua ancora oggi.</w:t>
      </w:r>
    </w:p>
    <w:p w14:paraId="5000C416" w14:textId="66C30D23" w:rsidR="000303D2" w:rsidRDefault="00084BDB" w:rsidP="00FA0566">
      <w:pPr>
        <w:pStyle w:val="ParagraphNumbering"/>
        <w:numPr>
          <w:ilvl w:val="0"/>
          <w:numId w:val="0"/>
        </w:numPr>
        <w:spacing w:before="160" w:after="0" w:line="300" w:lineRule="auto"/>
        <w:rPr>
          <w:rFonts w:ascii="Segoe UI" w:hAnsi="Segoe UI" w:cs="Segoe UI"/>
          <w:sz w:val="21"/>
          <w:szCs w:val="21"/>
        </w:rPr>
      </w:pPr>
      <w:r>
        <w:rPr>
          <w:rFonts w:ascii="Segoe UI" w:hAnsi="Segoe UI"/>
          <w:b/>
          <w:sz w:val="21"/>
        </w:rPr>
        <w:t xml:space="preserve">Nonostante gli shock esterni e l'aumento dei tassi di interesse, la crescita di San Marino è rimasta resiliente e ha sostenuto la tenuta del mercato del lavoro e la piena occupazione. </w:t>
      </w:r>
      <w:r>
        <w:rPr>
          <w:rFonts w:ascii="Segoe UI" w:hAnsi="Segoe UI"/>
          <w:sz w:val="21"/>
        </w:rPr>
        <w:t>Politiche prudenziali</w:t>
      </w:r>
      <w:r w:rsidR="00D35811">
        <w:rPr>
          <w:rFonts w:ascii="Segoe UI" w:hAnsi="Segoe UI"/>
          <w:sz w:val="21"/>
        </w:rPr>
        <w:t xml:space="preserve"> e</w:t>
      </w:r>
      <w:r>
        <w:rPr>
          <w:rFonts w:ascii="Segoe UI" w:hAnsi="Segoe UI"/>
          <w:sz w:val="21"/>
        </w:rPr>
        <w:t xml:space="preserve"> accesso ai mercati internazionali dei capitali hanno aumentato le riserve previste dalle politiche a livelli adeguati. La robusta domanda esterna, fino a poco tempo fa, ha dato impulso al settore manifatturiero e a quello turistico. Con l’espansione dell'economia, l'occupazione ha raggiunto livelli record. Finora la ripresa ha resistito ai venti contrari dovuti all'aumento dell'inflazione, all'inasprimento delle condizioni finanziarie e alla debolezza della domanda esterna. Tuttavia, questi fattori, unitamente all'aumento dell'incertezza globale, peseranno sull'attività, che, in base alle attese, rallenterà. Si prevede che l'inflazione rimanga elevata ma in calo, in linea con le tendenze italiane.</w:t>
      </w:r>
    </w:p>
    <w:p w14:paraId="6458502A" w14:textId="45193F8A" w:rsidR="00084BDB" w:rsidRPr="000465C0" w:rsidRDefault="00084BDB" w:rsidP="00FA0566">
      <w:pPr>
        <w:pStyle w:val="ParagraphNumbering"/>
        <w:numPr>
          <w:ilvl w:val="0"/>
          <w:numId w:val="0"/>
        </w:numPr>
        <w:spacing w:before="160" w:after="0" w:line="300" w:lineRule="auto"/>
        <w:rPr>
          <w:rFonts w:ascii="Segoe UI" w:hAnsi="Segoe UI" w:cs="Segoe UI"/>
          <w:color w:val="808080" w:themeColor="background1" w:themeShade="80"/>
          <w:sz w:val="21"/>
          <w:szCs w:val="21"/>
        </w:rPr>
      </w:pPr>
      <w:r>
        <w:rPr>
          <w:rFonts w:ascii="Segoe UI" w:hAnsi="Segoe UI"/>
          <w:b/>
          <w:bCs/>
          <w:sz w:val="21"/>
        </w:rPr>
        <w:t xml:space="preserve">Il successo del </w:t>
      </w:r>
      <w:proofErr w:type="spellStart"/>
      <w:r>
        <w:rPr>
          <w:rFonts w:ascii="Segoe UI" w:hAnsi="Segoe UI"/>
          <w:b/>
          <w:bCs/>
          <w:sz w:val="21"/>
        </w:rPr>
        <w:t>rollover</w:t>
      </w:r>
      <w:proofErr w:type="spellEnd"/>
      <w:r>
        <w:rPr>
          <w:rFonts w:ascii="Segoe UI" w:hAnsi="Segoe UI"/>
          <w:b/>
          <w:bCs/>
          <w:sz w:val="21"/>
        </w:rPr>
        <w:t xml:space="preserve"> dell'</w:t>
      </w:r>
      <w:proofErr w:type="spellStart"/>
      <w:r>
        <w:rPr>
          <w:rFonts w:ascii="Segoe UI" w:hAnsi="Segoe UI"/>
          <w:b/>
          <w:bCs/>
          <w:sz w:val="21"/>
        </w:rPr>
        <w:t>Eurobond</w:t>
      </w:r>
      <w:proofErr w:type="spellEnd"/>
      <w:r>
        <w:rPr>
          <w:rFonts w:ascii="Segoe UI" w:hAnsi="Segoe UI"/>
          <w:b/>
          <w:bCs/>
          <w:sz w:val="21"/>
        </w:rPr>
        <w:t xml:space="preserve"> nel maggio 2023 ha ridotto significativamente i rischi a breve termine, migliorando la liquidità interna e sostenendo la fiducia.</w:t>
      </w:r>
      <w:r>
        <w:rPr>
          <w:rFonts w:ascii="Segoe UI" w:hAnsi="Segoe UI"/>
          <w:sz w:val="21"/>
        </w:rPr>
        <w:t xml:space="preserve"> I rischi negativi riguardano l'indebolimento delle condizioni esterne e l'ulteriore inasprimento monetario globale, mentre i rischi interni si concentrano sull'incertezza politica dovuta alle elezioni del prossimo anno e sulle restanti vulnerabilità del settore finanziario. La solidità di fondo del settore manifatturiero e i sani bilanci del settore privato determinano evoluzioni positive rispetto allo scenario base.</w:t>
      </w:r>
    </w:p>
    <w:p w14:paraId="2B084668" w14:textId="63DBEA0E" w:rsidR="00084BDB" w:rsidRPr="0034377E" w:rsidRDefault="003F06C8" w:rsidP="00084BDB">
      <w:pPr>
        <w:pStyle w:val="ParagraphNumbering"/>
        <w:numPr>
          <w:ilvl w:val="0"/>
          <w:numId w:val="0"/>
        </w:numPr>
        <w:spacing w:before="160" w:after="0" w:line="300" w:lineRule="auto"/>
        <w:rPr>
          <w:rFonts w:ascii="Segoe UI" w:hAnsi="Segoe UI" w:cs="Segoe UI"/>
          <w:color w:val="808080" w:themeColor="background1" w:themeShade="80"/>
          <w:sz w:val="21"/>
          <w:szCs w:val="21"/>
        </w:rPr>
      </w:pPr>
      <w:r>
        <w:rPr>
          <w:rFonts w:ascii="Segoe UI" w:hAnsi="Segoe UI"/>
          <w:b/>
          <w:sz w:val="21"/>
        </w:rPr>
        <w:t xml:space="preserve">Negli ultimi anni la posizione di bilancio è migliorata, ma sono necessari ulteriori sforzi per consolidare questi risultati e garantire la sostenibilità. </w:t>
      </w:r>
      <w:r>
        <w:rPr>
          <w:rFonts w:ascii="Segoe UI" w:hAnsi="Segoe UI"/>
          <w:sz w:val="21"/>
        </w:rPr>
        <w:t>Il governo ha opportunamente accantonato le entrate straordinarie derivanti dall'inflazione e ha prudentemente indicizzato i salari e le pensioni del settore pubblico al di sotto dell'inflazione, contenendo l’incidenza sulla spesa.</w:t>
      </w:r>
      <w:r>
        <w:rPr>
          <w:rFonts w:ascii="Segoe UI" w:hAnsi="Segoe UI"/>
          <w:b/>
          <w:sz w:val="21"/>
        </w:rPr>
        <w:t xml:space="preserve"> </w:t>
      </w:r>
      <w:r>
        <w:rPr>
          <w:rFonts w:ascii="Segoe UI" w:hAnsi="Segoe UI"/>
          <w:sz w:val="21"/>
        </w:rPr>
        <w:t xml:space="preserve">Tuttavia, San Marino è una piccola economia </w:t>
      </w:r>
      <w:proofErr w:type="spellStart"/>
      <w:r>
        <w:rPr>
          <w:rFonts w:ascii="Segoe UI" w:hAnsi="Segoe UI"/>
          <w:sz w:val="21"/>
        </w:rPr>
        <w:t>euroizzata</w:t>
      </w:r>
      <w:proofErr w:type="spellEnd"/>
      <w:r>
        <w:rPr>
          <w:rFonts w:ascii="Segoe UI" w:hAnsi="Segoe UI"/>
          <w:sz w:val="21"/>
        </w:rPr>
        <w:t xml:space="preserve"> aperta, con un settore finanziario vulnerabile e riserve di bilancio limitate. Pertanto, rimane fondamentale, per il futuro, un ulteriore consolidamento di bilancio. A tal proposito, San Marino dovrebbe puntare a un livello di debito pubblico inferiore al 60% del PIL. Questo obiettivo, in linea con il quadro dell'Ue,</w:t>
      </w:r>
      <w:r w:rsidR="00473383">
        <w:rPr>
          <w:rFonts w:ascii="Segoe UI" w:hAnsi="Segoe UI"/>
          <w:sz w:val="21"/>
        </w:rPr>
        <w:t xml:space="preserve"> </w:t>
      </w:r>
      <w:r>
        <w:rPr>
          <w:rFonts w:ascii="Segoe UI" w:hAnsi="Segoe UI"/>
          <w:sz w:val="21"/>
        </w:rPr>
        <w:t xml:space="preserve">costituisce un ancoraggio per la politica di bilancio che garantirà la sostenibilità. Per raggiungere questo obiettivo entro il 2028, è necessario un moderato sforzo di bilancio pari all'1% del PIL nei prossimi tre anni: </w:t>
      </w:r>
    </w:p>
    <w:p w14:paraId="7781D3E0" w14:textId="4BB38DEE" w:rsidR="00084BDB" w:rsidRPr="00B277C0" w:rsidRDefault="002579C5" w:rsidP="00084BDB">
      <w:pPr>
        <w:pStyle w:val="Puntoelenco"/>
        <w:spacing w:before="160" w:after="0" w:line="300" w:lineRule="auto"/>
        <w:ind w:left="1080" w:hanging="540"/>
        <w:rPr>
          <w:rFonts w:ascii="Segoe UI" w:hAnsi="Segoe UI" w:cs="Segoe UI"/>
          <w:sz w:val="21"/>
          <w:szCs w:val="21"/>
        </w:rPr>
      </w:pPr>
      <w:r>
        <w:rPr>
          <w:rFonts w:ascii="Segoe UI" w:hAnsi="Segoe UI"/>
          <w:b/>
          <w:sz w:val="21"/>
        </w:rPr>
        <w:t xml:space="preserve">Mobilizzazione delle entrate. </w:t>
      </w:r>
      <w:r>
        <w:rPr>
          <w:rFonts w:ascii="Segoe UI" w:hAnsi="Segoe UI"/>
          <w:sz w:val="21"/>
        </w:rPr>
        <w:t>È possibile ridurre le esenzioni dall'imposta sul reddito, introdurre un'imposta sul valore aggiunto, ridurre gli sconti sui prodotti petroliferi ed espandere l'uso delle accise, che aumenterebbero le entrate e contribuirebbero ad affrontare le esternalità ambientali.</w:t>
      </w:r>
    </w:p>
    <w:p w14:paraId="053CCD00" w14:textId="71B48EA3" w:rsidR="00084BDB" w:rsidRPr="000465C0" w:rsidRDefault="002579C5" w:rsidP="00084BDB">
      <w:pPr>
        <w:pStyle w:val="Puntoelenco"/>
        <w:spacing w:before="160" w:after="0" w:line="300" w:lineRule="auto"/>
        <w:ind w:left="1080" w:hanging="540"/>
        <w:rPr>
          <w:rFonts w:ascii="Segoe UI" w:hAnsi="Segoe UI" w:cs="Segoe UI"/>
          <w:b/>
          <w:bCs/>
          <w:color w:val="808080" w:themeColor="background1" w:themeShade="80"/>
          <w:sz w:val="21"/>
          <w:szCs w:val="21"/>
        </w:rPr>
      </w:pPr>
      <w:r>
        <w:rPr>
          <w:rFonts w:ascii="Segoe UI" w:hAnsi="Segoe UI"/>
          <w:b/>
          <w:sz w:val="21"/>
        </w:rPr>
        <w:t>Consolidamento della spesa.</w:t>
      </w:r>
      <w:r>
        <w:rPr>
          <w:rFonts w:ascii="Segoe UI" w:hAnsi="Segoe UI"/>
          <w:sz w:val="21"/>
        </w:rPr>
        <w:t xml:space="preserve"> Una prudente indicizzazione dei salari e delle pensioni conterrà ulteriormente la spesa, mentre l'inflazione rimarrà elevata. Inoltre, è fondamentale migliorare l'efficienza della spesa, effettuando revisioni della spesa in tutti i settori pubblici.</w:t>
      </w:r>
    </w:p>
    <w:p w14:paraId="089119E6" w14:textId="208B3040" w:rsidR="00084BDB" w:rsidRPr="00E82C56" w:rsidRDefault="00084BDB" w:rsidP="00084BDB">
      <w:pPr>
        <w:pStyle w:val="ParagraphNumbering"/>
        <w:numPr>
          <w:ilvl w:val="0"/>
          <w:numId w:val="0"/>
        </w:numPr>
        <w:spacing w:before="160" w:after="0" w:line="300" w:lineRule="auto"/>
        <w:rPr>
          <w:rFonts w:ascii="Segoe UI" w:hAnsi="Segoe UI" w:cs="Segoe UI"/>
          <w:b/>
          <w:bCs/>
          <w:sz w:val="21"/>
          <w:szCs w:val="21"/>
        </w:rPr>
      </w:pPr>
      <w:r>
        <w:rPr>
          <w:rFonts w:ascii="Segoe UI" w:hAnsi="Segoe UI"/>
          <w:b/>
          <w:sz w:val="21"/>
        </w:rPr>
        <w:t xml:space="preserve">La riforma delle pensioni approvata lo scorso anno stabilizza il deficit del sistema pensionistico nel medio termine, ma le sfide demografiche a lungo termine persistono. </w:t>
      </w:r>
      <w:r>
        <w:rPr>
          <w:rFonts w:ascii="Segoe UI" w:hAnsi="Segoe UI"/>
          <w:sz w:val="21"/>
        </w:rPr>
        <w:t>La riforma ritarda di un decennio l'esaurimento dei fondi pensione aumentando i contributi. Tuttavia, la sostenibilità a lungo termine del sistema pensionistico richiede una riforma parametrica complementare che affronti le sfide dovute all'invecchiamento della popolazione, a prestazioni generose e a basse penalizzazioni per il pensionamento anticipato.</w:t>
      </w:r>
    </w:p>
    <w:p w14:paraId="271C86DD" w14:textId="3A544FE3" w:rsidR="003E63E9" w:rsidRPr="00BF378B" w:rsidRDefault="00281243" w:rsidP="003E63E9">
      <w:pPr>
        <w:pStyle w:val="ParagraphNumbering"/>
        <w:numPr>
          <w:ilvl w:val="0"/>
          <w:numId w:val="0"/>
        </w:numPr>
        <w:spacing w:before="160" w:after="0" w:line="300" w:lineRule="auto"/>
        <w:rPr>
          <w:rFonts w:ascii="Segoe UI" w:hAnsi="Segoe UI" w:cs="Segoe UI"/>
          <w:color w:val="808080" w:themeColor="background1" w:themeShade="80"/>
          <w:sz w:val="21"/>
          <w:szCs w:val="21"/>
        </w:rPr>
      </w:pPr>
      <w:r>
        <w:rPr>
          <w:rFonts w:ascii="Segoe UI" w:hAnsi="Segoe UI"/>
          <w:b/>
          <w:sz w:val="21"/>
        </w:rPr>
        <w:t>Per rafforzare il quadro della politica di bilancio e garantire la prevedibilità, è necessario sviluppare e comunicare una strategia di bilancio a medio termine.</w:t>
      </w:r>
      <w:r>
        <w:rPr>
          <w:rFonts w:ascii="Segoe UI" w:hAnsi="Segoe UI"/>
          <w:b/>
          <w:color w:val="808080" w:themeColor="background1" w:themeShade="80"/>
          <w:sz w:val="21"/>
        </w:rPr>
        <w:t xml:space="preserve"> </w:t>
      </w:r>
      <w:r>
        <w:rPr>
          <w:rFonts w:ascii="Segoe UI" w:hAnsi="Segoe UI"/>
          <w:sz w:val="21"/>
        </w:rPr>
        <w:t xml:space="preserve">Questa strategia dovrebbe fornire una prospettiva a medio termine della politica di bilancio e del suo impatto sulla sostenibilità del debito. Inoltre, dovrebbe essere sviluppata una strategia di debito complementare a medio termine che identifichi il fabbisogno finanziario a medio termine. L'obiettivo dovrebbe essere quello di mantenere livelli sani di liquidità, riducendo al minimo sia i rischi di </w:t>
      </w:r>
      <w:proofErr w:type="spellStart"/>
      <w:r>
        <w:rPr>
          <w:rFonts w:ascii="Segoe UI" w:hAnsi="Segoe UI"/>
          <w:sz w:val="21"/>
        </w:rPr>
        <w:t>rollover</w:t>
      </w:r>
      <w:proofErr w:type="spellEnd"/>
      <w:r>
        <w:rPr>
          <w:rFonts w:ascii="Segoe UI" w:hAnsi="Segoe UI"/>
          <w:sz w:val="21"/>
        </w:rPr>
        <w:t xml:space="preserve"> - anche, se possibile, attraverso operazioni di gestione delle passività per attenuare gli ingenti ammortamenti nel 2027 - sia i costi di finanziamento.</w:t>
      </w:r>
    </w:p>
    <w:p w14:paraId="552E5CD3" w14:textId="6EF97F66" w:rsidR="00EC46EA" w:rsidRDefault="00E60A66" w:rsidP="00C54640">
      <w:pPr>
        <w:pStyle w:val="ParagraphNumbering"/>
        <w:numPr>
          <w:ilvl w:val="0"/>
          <w:numId w:val="0"/>
        </w:numPr>
        <w:spacing w:before="160" w:after="0" w:line="300" w:lineRule="auto"/>
        <w:rPr>
          <w:rFonts w:ascii="Segoe UI" w:hAnsi="Segoe UI" w:cs="Segoe UI"/>
          <w:color w:val="000000" w:themeColor="text1"/>
          <w:sz w:val="21"/>
          <w:szCs w:val="21"/>
        </w:rPr>
      </w:pPr>
      <w:r>
        <w:rPr>
          <w:rFonts w:ascii="Segoe UI" w:hAnsi="Segoe UI"/>
          <w:b/>
          <w:color w:val="000000" w:themeColor="text1"/>
          <w:sz w:val="21"/>
        </w:rPr>
        <w:t>La redditività delle banche è migliorata grazie all'aumento dei margini di interesse, ma l'aumento dei tassi di interesse comporta anche dei rischi.</w:t>
      </w:r>
      <w:r>
        <w:rPr>
          <w:rFonts w:ascii="Segoe UI" w:hAnsi="Segoe UI"/>
          <w:b/>
          <w:color w:val="808080" w:themeColor="background1" w:themeShade="80"/>
          <w:sz w:val="21"/>
        </w:rPr>
        <w:t xml:space="preserve"> </w:t>
      </w:r>
      <w:r>
        <w:rPr>
          <w:rFonts w:ascii="Segoe UI" w:hAnsi="Segoe UI"/>
          <w:color w:val="000000" w:themeColor="text1"/>
          <w:sz w:val="21"/>
        </w:rPr>
        <w:t>Considerati gli NPL al 56% (28% al netto degli accantonamenti), gli alti costi operativi e la scarsa capitalizzazione di alcune banche, il settore finanziario rimane vulnerabile. In linea con l'esperienza della maggior parte dei paesi europei, i tassi di interesse più elevati sono stati trasferiti più rapidamente ai debitori che ai depositanti. Ciò ha sostenuto la redditività, ma ha anche comportato dei rischi per il settore finanziario, in quanto, tra le altre cose, ha deteriorato la capacità di rimborso dei debitori. Tuttavia, la solidità del mercato del lavoro e la piena occupazione hanno impedito un deterioramento della qualità del portafoglio prestiti, caratterizzato per lo più da prestiti a tasso variabile.</w:t>
      </w:r>
    </w:p>
    <w:p w14:paraId="67FB9908" w14:textId="57474F85" w:rsidR="003C1F05" w:rsidRPr="00271357" w:rsidRDefault="00BB2C52" w:rsidP="00C54640">
      <w:pPr>
        <w:pStyle w:val="ParagraphNumbering"/>
        <w:numPr>
          <w:ilvl w:val="0"/>
          <w:numId w:val="0"/>
        </w:numPr>
        <w:spacing w:before="160" w:after="0" w:line="300" w:lineRule="auto"/>
        <w:rPr>
          <w:rFonts w:ascii="Segoe UI" w:hAnsi="Segoe UI" w:cs="Segoe UI"/>
          <w:color w:val="000000" w:themeColor="text1"/>
          <w:sz w:val="21"/>
          <w:szCs w:val="21"/>
        </w:rPr>
      </w:pPr>
      <w:r>
        <w:rPr>
          <w:rFonts w:ascii="Segoe UI" w:hAnsi="Segoe UI"/>
          <w:b/>
          <w:color w:val="000000" w:themeColor="text1"/>
          <w:sz w:val="21"/>
        </w:rPr>
        <w:t xml:space="preserve">Sono necessari ulteriori sforzi per migliorare la redditività e la capitalizzazione delle banche. </w:t>
      </w:r>
      <w:r>
        <w:rPr>
          <w:rFonts w:ascii="Segoe UI" w:hAnsi="Segoe UI"/>
          <w:color w:val="000000" w:themeColor="text1"/>
          <w:sz w:val="21"/>
        </w:rPr>
        <w:t xml:space="preserve">In prospettiva, con l'aumento dei tassi di deposito, i margini di interesse diminuiranno, producendo un impatto negativo sulla redditività. Allo stesso tempo, l'indebolimento dell'attività economica in futuro può deteriorare la qualità dei prestiti. Pertanto, le banche dovrebbero utilizzare gli utili di quest'anno per aumentare il capitale e dovrebbero sostenere la redditività futura rilanciando gli sforzi per ridurre gli elevati costi operativi, che nell'ultimo anno si sono arrestati. </w:t>
      </w:r>
    </w:p>
    <w:p w14:paraId="0F11AACE" w14:textId="1DD5C998" w:rsidR="00E83037" w:rsidRDefault="00484633" w:rsidP="00C54640">
      <w:pPr>
        <w:pStyle w:val="ParagraphNumbering"/>
        <w:numPr>
          <w:ilvl w:val="0"/>
          <w:numId w:val="0"/>
        </w:numPr>
        <w:spacing w:before="160" w:after="0" w:line="300" w:lineRule="auto"/>
        <w:rPr>
          <w:rFonts w:ascii="Segoe UI" w:hAnsi="Segoe UI" w:cs="Segoe UI"/>
          <w:color w:val="000000" w:themeColor="text1"/>
          <w:sz w:val="21"/>
          <w:szCs w:val="21"/>
        </w:rPr>
      </w:pPr>
      <w:r>
        <w:rPr>
          <w:rFonts w:ascii="Segoe UI" w:hAnsi="Segoe UI"/>
          <w:b/>
          <w:sz w:val="21"/>
        </w:rPr>
        <w:t>Sono stati compiuti progressi significativi nell'attuazione della strategia delle autorità per ridurre gli NPL attraverso una società di gestione patrimoniale (AMC) e una calendarizzazione degli accantonamenti.</w:t>
      </w:r>
      <w:r>
        <w:rPr>
          <w:rFonts w:ascii="Segoe UI" w:hAnsi="Segoe UI"/>
          <w:b/>
          <w:color w:val="000000" w:themeColor="text1"/>
          <w:sz w:val="21"/>
        </w:rPr>
        <w:t xml:space="preserve"> </w:t>
      </w:r>
      <w:r>
        <w:rPr>
          <w:rFonts w:ascii="Segoe UI" w:hAnsi="Segoe UI"/>
          <w:color w:val="000000" w:themeColor="text1"/>
          <w:sz w:val="21"/>
        </w:rPr>
        <w:t>L’AMC, che cartolarizzerà parte dello stock di NPL, mira a risolvere la questione degli NPL in modo più efficiente sfruttando le economie di scala. Il collocamento internazionale della tranche senior della cartolarizzazione, basata su una valutazione esterna del portafoglio di NPL trasferito all'AMC, fornirà alle banche nuova liquidità, che, in futuro, potrebbe sostenere la redditività.</w:t>
      </w:r>
      <w:r>
        <w:rPr>
          <w:rFonts w:ascii="Segoe UI" w:hAnsi="Segoe UI"/>
          <w:sz w:val="21"/>
        </w:rPr>
        <w:t xml:space="preserve"> In seguito alla nomina di rinomate società internazionali con esperienza nel settore in qualità </w:t>
      </w:r>
      <w:proofErr w:type="spellStart"/>
      <w:r>
        <w:rPr>
          <w:rFonts w:ascii="Segoe UI" w:hAnsi="Segoe UI"/>
          <w:sz w:val="21"/>
        </w:rPr>
        <w:t>arranger</w:t>
      </w:r>
      <w:proofErr w:type="spellEnd"/>
      <w:r>
        <w:rPr>
          <w:rFonts w:ascii="Segoe UI" w:hAnsi="Segoe UI"/>
          <w:sz w:val="21"/>
        </w:rPr>
        <w:t xml:space="preserve"> e </w:t>
      </w:r>
      <w:proofErr w:type="spellStart"/>
      <w:r>
        <w:rPr>
          <w:rFonts w:ascii="Segoe UI" w:hAnsi="Segoe UI"/>
          <w:sz w:val="21"/>
        </w:rPr>
        <w:t>servicer</w:t>
      </w:r>
      <w:proofErr w:type="spellEnd"/>
      <w:r>
        <w:rPr>
          <w:rFonts w:ascii="Segoe UI" w:hAnsi="Segoe UI"/>
          <w:sz w:val="21"/>
        </w:rPr>
        <w:t>, procede l’attività operativa per lanciare la cartolarizzazione - la valutazione degli NPL da trasferire è quasi completata - e potrebbe concludersi entro la fine dell'anno.</w:t>
      </w:r>
      <w:r>
        <w:rPr>
          <w:rFonts w:ascii="Segoe UI" w:hAnsi="Segoe UI"/>
          <w:color w:val="000000" w:themeColor="text1"/>
          <w:sz w:val="21"/>
        </w:rPr>
        <w:t xml:space="preserve"> L'introduzione di una clausola di caducità realistica per l'AMC sarà importante per limitare le interferenze politiche e ridurre i rischi di attuazione. Gli NPL rimasti nei registri delle banche saranno soggetti a un progressivo riconoscimento delle potenziali perdite pregresse (calendarizzazione degli accantonamenti). Un’eventuale sottocapitalizzazione - che potrebbe derivare dal processo di cartolarizzazione e dall'attuazione della calendarizzazione degli accantonamenti - dovrebbe essere prontamente affrontata con piani di capitalizzazione credibili. L'intenzione di costituire una garanzia statale inferiore ai valori di recupero previsti è apprezzabile in quanto riduce al minimo i rischi di bilancio. </w:t>
      </w:r>
    </w:p>
    <w:p w14:paraId="0999705D" w14:textId="3E692218" w:rsidR="00641096" w:rsidRDefault="00B459EF" w:rsidP="00C54640">
      <w:pPr>
        <w:pStyle w:val="ParagraphNumbering"/>
        <w:numPr>
          <w:ilvl w:val="0"/>
          <w:numId w:val="0"/>
        </w:numPr>
        <w:spacing w:before="160" w:after="0" w:line="300" w:lineRule="auto"/>
        <w:rPr>
          <w:rFonts w:ascii="Segoe UI" w:hAnsi="Segoe UI" w:cs="Segoe UI"/>
          <w:color w:val="000000" w:themeColor="text1"/>
          <w:sz w:val="21"/>
          <w:szCs w:val="21"/>
        </w:rPr>
      </w:pPr>
      <w:r>
        <w:rPr>
          <w:rFonts w:ascii="Segoe UI" w:hAnsi="Segoe UI"/>
          <w:b/>
          <w:bCs/>
          <w:color w:val="000000" w:themeColor="text1"/>
          <w:sz w:val="21"/>
        </w:rPr>
        <w:t>Il quadro di risoluzione delle crisi bancarie deve essere migliorato e allineato agli standard europei.</w:t>
      </w:r>
      <w:r>
        <w:rPr>
          <w:rFonts w:ascii="Segoe UI" w:hAnsi="Segoe UI"/>
          <w:color w:val="000000" w:themeColor="text1"/>
          <w:sz w:val="21"/>
        </w:rPr>
        <w:t xml:space="preserve"> La riforma del 2019 non è riuscita a conformare completamente tale quadro a quello europeo. Al contempo, dovrebbero essere eliminati i limiti alla stru</w:t>
      </w:r>
      <w:r w:rsidR="004A7713">
        <w:rPr>
          <w:rFonts w:ascii="Segoe UI" w:hAnsi="Segoe UI"/>
          <w:color w:val="000000" w:themeColor="text1"/>
          <w:sz w:val="21"/>
        </w:rPr>
        <w:t>ttura azionaria delle banche.</w:t>
      </w:r>
    </w:p>
    <w:p w14:paraId="7626A25D" w14:textId="05319B55" w:rsidR="00C54640" w:rsidRPr="0018073D" w:rsidRDefault="00FE4376" w:rsidP="00C54640">
      <w:pPr>
        <w:pStyle w:val="ParagraphNumbering"/>
        <w:numPr>
          <w:ilvl w:val="0"/>
          <w:numId w:val="0"/>
        </w:numPr>
        <w:spacing w:before="160" w:after="0" w:line="300" w:lineRule="auto"/>
        <w:rPr>
          <w:rFonts w:ascii="Segoe UI" w:hAnsi="Segoe UI" w:cs="Segoe UI"/>
          <w:color w:val="000000" w:themeColor="text1"/>
          <w:sz w:val="21"/>
          <w:szCs w:val="21"/>
        </w:rPr>
      </w:pPr>
      <w:r>
        <w:rPr>
          <w:rFonts w:ascii="Segoe UI" w:hAnsi="Segoe UI"/>
          <w:b/>
          <w:bCs/>
          <w:color w:val="000000" w:themeColor="text1"/>
          <w:sz w:val="21"/>
        </w:rPr>
        <w:t>La posizione finanziaria di BCSM dovrebbe essere rafforzata per salvaguardare la sua indipendenza e sostenere la stabilità del settore finanziario attraverso un'effettiva capacità di prestatore di ultima istanza.</w:t>
      </w:r>
      <w:r>
        <w:rPr>
          <w:rFonts w:ascii="Segoe UI" w:hAnsi="Segoe UI"/>
          <w:color w:val="000000" w:themeColor="text1"/>
          <w:sz w:val="21"/>
        </w:rPr>
        <w:t xml:space="preserve"> </w:t>
      </w:r>
      <w:r>
        <w:rPr>
          <w:rFonts w:ascii="Segoe UI" w:hAnsi="Segoe UI"/>
          <w:sz w:val="21"/>
        </w:rPr>
        <w:t xml:space="preserve">In un'economia </w:t>
      </w:r>
      <w:proofErr w:type="spellStart"/>
      <w:r>
        <w:rPr>
          <w:rFonts w:ascii="Segoe UI" w:hAnsi="Segoe UI"/>
          <w:sz w:val="21"/>
        </w:rPr>
        <w:t>euroizzata</w:t>
      </w:r>
      <w:proofErr w:type="spellEnd"/>
      <w:r>
        <w:rPr>
          <w:rFonts w:ascii="Segoe UI" w:hAnsi="Segoe UI"/>
          <w:sz w:val="21"/>
        </w:rPr>
        <w:t>, priva di una politica monetaria indipendente, il mantenimento di livelli sani di riserve di liquidità del settore finanziario è fondamentale per sostenere la stabilità e la fiducia. Le riserve internazionali sono diminuite, in quanto i depositi delle banche si sono spostati all'estero alla ricerca di rendimenti più elevati, ma dalle fine del 2022 si sono stabilizzate. Per garantire che BCSM abbia una capacità sufficiente in qualità di prestatore di ultima istanza, il coefficiente di riserva obbligatoria dovrebbe essere gradualmente incrementato. Allo stesso tempo, una forte posizione finanziaria di BCSM è altrettanto fondamentale per svolgere questo ruolo e consolidare le recenti iniziative di vigilanza.</w:t>
      </w:r>
      <w:r>
        <w:rPr>
          <w:rFonts w:ascii="Segoe UI" w:hAnsi="Segoe UI"/>
          <w:color w:val="000000" w:themeColor="text1"/>
          <w:sz w:val="21"/>
        </w:rPr>
        <w:t xml:space="preserve"> Inoltre, l'adozione del quadro europeo per il settore finanziario nel contesto dell'Accordo di Associazione con l'UE imporrà a BCSM costi per il rispetto degli obblighi potenzialmente significativi, che dovranno essere affrontati.</w:t>
      </w:r>
    </w:p>
    <w:p w14:paraId="0D873075" w14:textId="7CF81E04" w:rsidR="00D8359F" w:rsidRDefault="006B392F" w:rsidP="00D8359F">
      <w:pPr>
        <w:pStyle w:val="ParagraphNumbering"/>
        <w:numPr>
          <w:ilvl w:val="0"/>
          <w:numId w:val="0"/>
        </w:numPr>
        <w:spacing w:before="160" w:after="0" w:line="300" w:lineRule="auto"/>
        <w:rPr>
          <w:rFonts w:ascii="Segoe UI" w:hAnsi="Segoe UI" w:cs="Segoe UI"/>
          <w:sz w:val="21"/>
          <w:szCs w:val="21"/>
        </w:rPr>
      </w:pPr>
      <w:r>
        <w:rPr>
          <w:rFonts w:ascii="Segoe UI" w:hAnsi="Segoe UI"/>
          <w:b/>
          <w:bCs/>
          <w:sz w:val="21"/>
        </w:rPr>
        <w:t>San Marino dovrebbe continuare a compiere progressi nel rafforzamento dell'attuazione del quadro normativo in materia di prevenzione del riciclaggio e del finanziamento del terrorismo.</w:t>
      </w:r>
      <w:r>
        <w:rPr>
          <w:rFonts w:ascii="Segoe UI" w:hAnsi="Segoe UI"/>
          <w:sz w:val="21"/>
        </w:rPr>
        <w:t xml:space="preserve"> Il rapporto di valutazione AML/CFT del MONEVYAL ha indicato livelli soddisfacenti di efficacia in molte aree, ma ha evidenziato alcuni settori in cui sono necessari ulteriori sforzi, tra cui la vigilanza, le misure preventive (vale a dire l’adeguata verifica della clientela), la trasparenza delle persone giuridiche e degli istituti giuridici, le indagini sul riciclaggio di denaro e le sanzioni finanziarie mirate per il finanziamento del terrorismo e della proliferazione. Tenendo conto di ciò, le autorità stanno recependo la V Direttiva antiriciclaggio dell’UE nel quadro giuridico nazionale.</w:t>
      </w:r>
      <w:r>
        <w:t xml:space="preserve"> </w:t>
      </w:r>
      <w:r>
        <w:rPr>
          <w:rFonts w:ascii="Segoe UI" w:hAnsi="Segoe UI"/>
          <w:sz w:val="21"/>
        </w:rPr>
        <w:t>San Marino ha ottenuto un buon successo nei casi di confisca</w:t>
      </w:r>
      <w:r w:rsidR="00140833">
        <w:rPr>
          <w:rFonts w:ascii="Segoe UI" w:hAnsi="Segoe UI"/>
          <w:sz w:val="21"/>
        </w:rPr>
        <w:t xml:space="preserve"> di beni.</w:t>
      </w:r>
    </w:p>
    <w:p w14:paraId="2A004393" w14:textId="0125E495" w:rsidR="00D8359F" w:rsidDel="00336085" w:rsidRDefault="00D8359F" w:rsidP="00D8359F">
      <w:pPr>
        <w:pStyle w:val="ParagraphNumbering"/>
        <w:numPr>
          <w:ilvl w:val="0"/>
          <w:numId w:val="0"/>
        </w:numPr>
        <w:spacing w:before="160" w:after="0" w:line="300" w:lineRule="auto"/>
        <w:rPr>
          <w:rFonts w:ascii="Segoe UI" w:hAnsi="Segoe UI" w:cs="Segoe UI"/>
          <w:sz w:val="21"/>
          <w:szCs w:val="21"/>
        </w:rPr>
      </w:pPr>
      <w:r>
        <w:rPr>
          <w:rFonts w:ascii="Segoe UI" w:hAnsi="Segoe UI"/>
          <w:b/>
          <w:bCs/>
          <w:sz w:val="21"/>
        </w:rPr>
        <w:t>Le riforme strutturali sono fondamentali per sostenere la competitività del settore manifatturiero e consolidare i recenti risultati ottenuti nel settore del turismo, aumentando il potenziale di crescita di San Marino.</w:t>
      </w:r>
      <w:r>
        <w:rPr>
          <w:rFonts w:ascii="Segoe UI" w:hAnsi="Segoe UI"/>
          <w:sz w:val="21"/>
        </w:rPr>
        <w:t xml:space="preserve"> L'Accordo di Associazione con l'UE favorirà l'integrazione economica riducendo i costi di transazione e attirando investimenti esteri. Le recenti riforme del mercato del lavoro hanno aumentato la flessibilità liberalizzando gli accordi in materia di lavoro transfrontaliero. Tuttavia, è necessaria un'ulteriore liberalizzazione, eliminando i disincentivi sui contratti a tempo determinato e rendendo i contratti interinali in linea con il quadro italiano. Infine, l'aggiornamento del quadro normativo sull'insolvenza e sui diritti dei creditori, ormai obsoleto, sarà fondamentale per affrontare gli impedimenti strutturali, aumentare gli investimenti e sostenere la risoluzione degli NPL.</w:t>
      </w:r>
    </w:p>
    <w:p w14:paraId="4FBB5F0E" w14:textId="183C95B1" w:rsidR="00520D1C" w:rsidRDefault="00520D1C" w:rsidP="00AE0205">
      <w:pPr>
        <w:pStyle w:val="ParagraphNumbering"/>
        <w:numPr>
          <w:ilvl w:val="0"/>
          <w:numId w:val="0"/>
        </w:numPr>
        <w:spacing w:before="160" w:after="0" w:line="300" w:lineRule="auto"/>
      </w:pPr>
    </w:p>
    <w:p w14:paraId="6734FE7B" w14:textId="298CCFCB" w:rsidR="00520D1C" w:rsidRDefault="00520D1C" w:rsidP="00520D1C">
      <w:pPr>
        <w:spacing w:after="0" w:line="240" w:lineRule="auto"/>
        <w:rPr>
          <w:b/>
          <w:bCs/>
        </w:rPr>
      </w:pPr>
    </w:p>
    <w:p w14:paraId="74DBEB00" w14:textId="22F2A608" w:rsidR="003E63E9" w:rsidRPr="006A2D2B" w:rsidRDefault="00C25373" w:rsidP="006A2D2B">
      <w:pPr>
        <w:jc w:val="center"/>
        <w:rPr>
          <w:b/>
        </w:rPr>
      </w:pPr>
      <w:r>
        <w:rPr>
          <w:b/>
        </w:rPr>
        <w:t>San Marino: Indicatori economici selezionati, 2020-25 - Preliminari</w:t>
      </w:r>
    </w:p>
    <w:tbl>
      <w:tblPr>
        <w:tblW w:w="5000" w:type="pct"/>
        <w:tblLook w:val="04A0" w:firstRow="1" w:lastRow="0" w:firstColumn="1" w:lastColumn="0" w:noHBand="0" w:noVBand="1"/>
      </w:tblPr>
      <w:tblGrid>
        <w:gridCol w:w="4525"/>
        <w:gridCol w:w="578"/>
        <w:gridCol w:w="578"/>
        <w:gridCol w:w="594"/>
        <w:gridCol w:w="921"/>
        <w:gridCol w:w="578"/>
        <w:gridCol w:w="578"/>
      </w:tblGrid>
      <w:tr w:rsidR="00C25373" w:rsidRPr="00C25373" w14:paraId="1DA7A147" w14:textId="77777777">
        <w:trPr>
          <w:trHeight w:val="297"/>
        </w:trPr>
        <w:tc>
          <w:tcPr>
            <w:tcW w:w="2726" w:type="pct"/>
            <w:tcBorders>
              <w:top w:val="nil"/>
              <w:left w:val="nil"/>
              <w:right w:val="nil"/>
            </w:tcBorders>
            <w:shd w:val="clear" w:color="000000" w:fill="FFFFFF"/>
            <w:noWrap/>
            <w:hideMark/>
          </w:tcPr>
          <w:bookmarkEnd w:id="0"/>
          <w:p w14:paraId="0EBA173B"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428" w:type="pct"/>
            <w:tcBorders>
              <w:top w:val="nil"/>
              <w:left w:val="nil"/>
              <w:right w:val="nil"/>
            </w:tcBorders>
            <w:shd w:val="clear" w:color="000000" w:fill="FFFFFF"/>
            <w:noWrap/>
            <w:hideMark/>
          </w:tcPr>
          <w:p w14:paraId="1419FE7D" w14:textId="77777777" w:rsidR="00C25373" w:rsidRPr="006A2D2B" w:rsidRDefault="00C25373" w:rsidP="006A2D2B">
            <w:pPr>
              <w:spacing w:before="100" w:beforeAutospacing="1" w:after="100" w:afterAutospacing="1" w:line="240" w:lineRule="auto"/>
              <w:jc w:val="center"/>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right w:val="nil"/>
            </w:tcBorders>
            <w:shd w:val="clear" w:color="000000" w:fill="FFFFFF"/>
            <w:noWrap/>
            <w:hideMark/>
          </w:tcPr>
          <w:p w14:paraId="4444C2E6"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right w:val="nil"/>
            </w:tcBorders>
            <w:shd w:val="clear" w:color="000000" w:fill="FFFFFF"/>
            <w:noWrap/>
            <w:hideMark/>
          </w:tcPr>
          <w:p w14:paraId="1CF5C1F5"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 xml:space="preserve">Stima </w:t>
            </w:r>
          </w:p>
        </w:tc>
        <w:tc>
          <w:tcPr>
            <w:tcW w:w="369" w:type="pct"/>
            <w:tcBorders>
              <w:top w:val="nil"/>
              <w:left w:val="nil"/>
              <w:right w:val="nil"/>
            </w:tcBorders>
            <w:shd w:val="clear" w:color="000000" w:fill="FFFFFF"/>
            <w:noWrap/>
            <w:hideMark/>
          </w:tcPr>
          <w:p w14:paraId="1B1E83A9" w14:textId="77777777" w:rsidR="00C25373" w:rsidRPr="006A2D2B" w:rsidRDefault="00C25373" w:rsidP="006A2D2B">
            <w:pPr>
              <w:spacing w:before="100" w:beforeAutospacing="1" w:after="100" w:afterAutospacing="1" w:line="240" w:lineRule="auto"/>
              <w:jc w:val="center"/>
              <w:rPr>
                <w:rFonts w:ascii="Segoe UI" w:eastAsia="Times New Roman" w:hAnsi="Segoe UI" w:cs="Segoe UI"/>
                <w:color w:val="000000"/>
                <w:sz w:val="18"/>
                <w:szCs w:val="18"/>
              </w:rPr>
            </w:pPr>
            <w:r>
              <w:rPr>
                <w:rFonts w:ascii="Segoe UI" w:hAnsi="Segoe UI"/>
                <w:color w:val="000000"/>
                <w:sz w:val="18"/>
              </w:rPr>
              <w:t>Proiezione</w:t>
            </w:r>
          </w:p>
        </w:tc>
        <w:tc>
          <w:tcPr>
            <w:tcW w:w="369" w:type="pct"/>
            <w:tcBorders>
              <w:top w:val="nil"/>
              <w:left w:val="nil"/>
              <w:right w:val="nil"/>
            </w:tcBorders>
            <w:shd w:val="clear" w:color="000000" w:fill="FFFFFF"/>
            <w:noWrap/>
            <w:hideMark/>
          </w:tcPr>
          <w:p w14:paraId="7CADB1F3"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right w:val="nil"/>
            </w:tcBorders>
            <w:shd w:val="clear" w:color="000000" w:fill="FFFFFF"/>
            <w:noWrap/>
            <w:hideMark/>
          </w:tcPr>
          <w:p w14:paraId="2E90A307"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r>
      <w:tr w:rsidR="00C25373" w:rsidRPr="00C25373" w14:paraId="6B2674C2" w14:textId="77777777">
        <w:trPr>
          <w:trHeight w:val="300"/>
        </w:trPr>
        <w:tc>
          <w:tcPr>
            <w:tcW w:w="2726" w:type="pct"/>
            <w:tcBorders>
              <w:top w:val="nil"/>
              <w:left w:val="nil"/>
              <w:bottom w:val="single" w:sz="4" w:space="0" w:color="auto"/>
              <w:right w:val="nil"/>
            </w:tcBorders>
            <w:shd w:val="clear" w:color="000000" w:fill="FFFFFF"/>
            <w:noWrap/>
            <w:vAlign w:val="bottom"/>
            <w:hideMark/>
          </w:tcPr>
          <w:p w14:paraId="6F9E3F09" w14:textId="77777777" w:rsidR="00C25373" w:rsidRPr="006A2D2B" w:rsidRDefault="00C25373" w:rsidP="006A2D2B">
            <w:pPr>
              <w:spacing w:before="100" w:beforeAutospacing="1" w:after="100" w:afterAutospacing="1" w:line="240" w:lineRule="auto"/>
              <w:jc w:val="center"/>
              <w:rPr>
                <w:rFonts w:ascii="Segoe UI" w:eastAsia="Times New Roman" w:hAnsi="Segoe UI" w:cs="Segoe UI"/>
                <w:color w:val="000000"/>
                <w:sz w:val="18"/>
                <w:szCs w:val="18"/>
              </w:rPr>
            </w:pPr>
            <w:r>
              <w:rPr>
                <w:rFonts w:ascii="Segoe UI" w:hAnsi="Segoe UI"/>
                <w:color w:val="000000"/>
                <w:sz w:val="18"/>
              </w:rPr>
              <w:t> </w:t>
            </w:r>
          </w:p>
        </w:tc>
        <w:tc>
          <w:tcPr>
            <w:tcW w:w="428" w:type="pct"/>
            <w:tcBorders>
              <w:top w:val="nil"/>
              <w:left w:val="nil"/>
              <w:bottom w:val="single" w:sz="4" w:space="0" w:color="auto"/>
              <w:right w:val="nil"/>
            </w:tcBorders>
            <w:shd w:val="clear" w:color="000000" w:fill="FFFFFF"/>
            <w:noWrap/>
            <w:vAlign w:val="bottom"/>
            <w:hideMark/>
          </w:tcPr>
          <w:p w14:paraId="24E53595"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2020</w:t>
            </w:r>
          </w:p>
        </w:tc>
        <w:tc>
          <w:tcPr>
            <w:tcW w:w="369" w:type="pct"/>
            <w:tcBorders>
              <w:top w:val="nil"/>
              <w:left w:val="nil"/>
              <w:bottom w:val="single" w:sz="4" w:space="0" w:color="auto"/>
              <w:right w:val="nil"/>
            </w:tcBorders>
            <w:shd w:val="clear" w:color="000000" w:fill="FFFFFF"/>
            <w:noWrap/>
            <w:vAlign w:val="bottom"/>
            <w:hideMark/>
          </w:tcPr>
          <w:p w14:paraId="08454B9B"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2021</w:t>
            </w:r>
          </w:p>
        </w:tc>
        <w:tc>
          <w:tcPr>
            <w:tcW w:w="369" w:type="pct"/>
            <w:tcBorders>
              <w:top w:val="nil"/>
              <w:left w:val="nil"/>
              <w:bottom w:val="single" w:sz="4" w:space="0" w:color="auto"/>
              <w:right w:val="nil"/>
            </w:tcBorders>
            <w:shd w:val="clear" w:color="000000" w:fill="FFFFFF"/>
            <w:noWrap/>
            <w:vAlign w:val="bottom"/>
            <w:hideMark/>
          </w:tcPr>
          <w:p w14:paraId="65722ECE"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2022</w:t>
            </w:r>
          </w:p>
        </w:tc>
        <w:tc>
          <w:tcPr>
            <w:tcW w:w="369" w:type="pct"/>
            <w:tcBorders>
              <w:top w:val="nil"/>
              <w:left w:val="nil"/>
              <w:bottom w:val="single" w:sz="4" w:space="0" w:color="auto"/>
              <w:right w:val="nil"/>
            </w:tcBorders>
            <w:shd w:val="clear" w:color="000000" w:fill="FFFFFF"/>
            <w:noWrap/>
            <w:vAlign w:val="bottom"/>
            <w:hideMark/>
          </w:tcPr>
          <w:p w14:paraId="687A8933"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2023</w:t>
            </w:r>
          </w:p>
        </w:tc>
        <w:tc>
          <w:tcPr>
            <w:tcW w:w="369" w:type="pct"/>
            <w:tcBorders>
              <w:top w:val="nil"/>
              <w:left w:val="nil"/>
              <w:bottom w:val="single" w:sz="4" w:space="0" w:color="auto"/>
              <w:right w:val="nil"/>
            </w:tcBorders>
            <w:shd w:val="clear" w:color="000000" w:fill="FFFFFF"/>
            <w:noWrap/>
            <w:vAlign w:val="bottom"/>
            <w:hideMark/>
          </w:tcPr>
          <w:p w14:paraId="3FEE46BD"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2024</w:t>
            </w:r>
          </w:p>
        </w:tc>
        <w:tc>
          <w:tcPr>
            <w:tcW w:w="369" w:type="pct"/>
            <w:tcBorders>
              <w:top w:val="nil"/>
              <w:left w:val="nil"/>
              <w:bottom w:val="single" w:sz="4" w:space="0" w:color="auto"/>
              <w:right w:val="nil"/>
            </w:tcBorders>
            <w:shd w:val="clear" w:color="000000" w:fill="FFFFFF"/>
            <w:noWrap/>
            <w:vAlign w:val="bottom"/>
            <w:hideMark/>
          </w:tcPr>
          <w:p w14:paraId="331C9900"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2025</w:t>
            </w:r>
          </w:p>
        </w:tc>
      </w:tr>
      <w:tr w:rsidR="00C25373" w:rsidRPr="00C25373" w14:paraId="2CC75F9B" w14:textId="77777777">
        <w:trPr>
          <w:trHeight w:val="255"/>
        </w:trPr>
        <w:tc>
          <w:tcPr>
            <w:tcW w:w="2726" w:type="pct"/>
            <w:tcBorders>
              <w:top w:val="single" w:sz="4" w:space="0" w:color="auto"/>
              <w:left w:val="nil"/>
              <w:bottom w:val="nil"/>
              <w:right w:val="nil"/>
            </w:tcBorders>
            <w:shd w:val="clear" w:color="000000" w:fill="FFFFFF"/>
            <w:noWrap/>
            <w:vAlign w:val="bottom"/>
            <w:hideMark/>
          </w:tcPr>
          <w:p w14:paraId="3D5A1590" w14:textId="77777777" w:rsidR="00C25373" w:rsidRPr="006A2D2B" w:rsidRDefault="00C25373" w:rsidP="006A2D2B">
            <w:pPr>
              <w:spacing w:before="100" w:beforeAutospacing="1" w:after="100" w:afterAutospacing="1" w:line="240" w:lineRule="auto"/>
              <w:rPr>
                <w:rFonts w:ascii="Segoe UI" w:eastAsia="Times New Roman" w:hAnsi="Segoe UI" w:cs="Segoe UI"/>
                <w:b/>
                <w:bCs/>
                <w:color w:val="000000"/>
                <w:sz w:val="18"/>
                <w:szCs w:val="18"/>
              </w:rPr>
            </w:pPr>
            <w:r>
              <w:rPr>
                <w:rFonts w:ascii="Segoe UI" w:hAnsi="Segoe UI"/>
                <w:b/>
                <w:color w:val="000000"/>
                <w:sz w:val="18"/>
              </w:rPr>
              <w:t>Attività e Prezzi</w:t>
            </w:r>
          </w:p>
        </w:tc>
        <w:tc>
          <w:tcPr>
            <w:tcW w:w="428" w:type="pct"/>
            <w:tcBorders>
              <w:top w:val="single" w:sz="4" w:space="0" w:color="auto"/>
              <w:left w:val="nil"/>
              <w:bottom w:val="nil"/>
              <w:right w:val="nil"/>
            </w:tcBorders>
            <w:shd w:val="clear" w:color="000000" w:fill="FFFFFF"/>
            <w:noWrap/>
            <w:vAlign w:val="bottom"/>
            <w:hideMark/>
          </w:tcPr>
          <w:p w14:paraId="43F9FC1F"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single" w:sz="4" w:space="0" w:color="auto"/>
              <w:left w:val="nil"/>
              <w:bottom w:val="nil"/>
              <w:right w:val="nil"/>
            </w:tcBorders>
            <w:shd w:val="clear" w:color="000000" w:fill="FFFFFF"/>
            <w:noWrap/>
            <w:vAlign w:val="bottom"/>
            <w:hideMark/>
          </w:tcPr>
          <w:p w14:paraId="6849FDB0"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single" w:sz="4" w:space="0" w:color="auto"/>
              <w:left w:val="nil"/>
              <w:bottom w:val="nil"/>
              <w:right w:val="nil"/>
            </w:tcBorders>
            <w:shd w:val="clear" w:color="000000" w:fill="FFFFFF"/>
            <w:noWrap/>
            <w:vAlign w:val="bottom"/>
            <w:hideMark/>
          </w:tcPr>
          <w:p w14:paraId="79962D43"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single" w:sz="4" w:space="0" w:color="auto"/>
              <w:left w:val="nil"/>
              <w:bottom w:val="nil"/>
              <w:right w:val="nil"/>
            </w:tcBorders>
            <w:shd w:val="clear" w:color="000000" w:fill="FFFFFF"/>
            <w:noWrap/>
            <w:vAlign w:val="bottom"/>
            <w:hideMark/>
          </w:tcPr>
          <w:p w14:paraId="11536BDD"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single" w:sz="4" w:space="0" w:color="auto"/>
              <w:left w:val="nil"/>
              <w:bottom w:val="nil"/>
              <w:right w:val="nil"/>
            </w:tcBorders>
            <w:shd w:val="clear" w:color="000000" w:fill="FFFFFF"/>
            <w:noWrap/>
            <w:vAlign w:val="bottom"/>
            <w:hideMark/>
          </w:tcPr>
          <w:p w14:paraId="485DAEF6"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single" w:sz="4" w:space="0" w:color="auto"/>
              <w:left w:val="nil"/>
              <w:bottom w:val="nil"/>
              <w:right w:val="nil"/>
            </w:tcBorders>
            <w:shd w:val="clear" w:color="000000" w:fill="FFFFFF"/>
            <w:noWrap/>
            <w:vAlign w:val="bottom"/>
            <w:hideMark/>
          </w:tcPr>
          <w:p w14:paraId="4D0DFD9D"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r>
      <w:tr w:rsidR="00C25373" w:rsidRPr="00C25373" w14:paraId="6E37CE93" w14:textId="77777777">
        <w:trPr>
          <w:trHeight w:val="255"/>
        </w:trPr>
        <w:tc>
          <w:tcPr>
            <w:tcW w:w="2726" w:type="pct"/>
            <w:tcBorders>
              <w:top w:val="nil"/>
              <w:left w:val="nil"/>
              <w:bottom w:val="nil"/>
              <w:right w:val="nil"/>
            </w:tcBorders>
            <w:shd w:val="clear" w:color="000000" w:fill="FFFFFF"/>
            <w:noWrap/>
            <w:vAlign w:val="bottom"/>
            <w:hideMark/>
          </w:tcPr>
          <w:p w14:paraId="77AB828A"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PIL reale (variazione percentuale) </w:t>
            </w:r>
          </w:p>
        </w:tc>
        <w:tc>
          <w:tcPr>
            <w:tcW w:w="428" w:type="pct"/>
            <w:tcBorders>
              <w:top w:val="nil"/>
              <w:left w:val="nil"/>
              <w:bottom w:val="nil"/>
              <w:right w:val="nil"/>
            </w:tcBorders>
            <w:shd w:val="clear" w:color="000000" w:fill="FFFFFF"/>
            <w:noWrap/>
            <w:vAlign w:val="bottom"/>
            <w:hideMark/>
          </w:tcPr>
          <w:p w14:paraId="09BBE20B"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-6,8</w:t>
            </w:r>
          </w:p>
        </w:tc>
        <w:tc>
          <w:tcPr>
            <w:tcW w:w="369" w:type="pct"/>
            <w:tcBorders>
              <w:top w:val="nil"/>
              <w:left w:val="nil"/>
              <w:bottom w:val="nil"/>
              <w:right w:val="nil"/>
            </w:tcBorders>
            <w:shd w:val="clear" w:color="000000" w:fill="FFFFFF"/>
            <w:noWrap/>
            <w:vAlign w:val="bottom"/>
            <w:hideMark/>
          </w:tcPr>
          <w:p w14:paraId="07DB87DB"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14,2</w:t>
            </w:r>
          </w:p>
        </w:tc>
        <w:tc>
          <w:tcPr>
            <w:tcW w:w="369" w:type="pct"/>
            <w:tcBorders>
              <w:top w:val="nil"/>
              <w:left w:val="nil"/>
              <w:bottom w:val="nil"/>
              <w:right w:val="nil"/>
            </w:tcBorders>
            <w:shd w:val="clear" w:color="000000" w:fill="FFFFFF"/>
            <w:noWrap/>
            <w:vAlign w:val="bottom"/>
            <w:hideMark/>
          </w:tcPr>
          <w:p w14:paraId="0BF79775"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5,0</w:t>
            </w:r>
          </w:p>
        </w:tc>
        <w:tc>
          <w:tcPr>
            <w:tcW w:w="369" w:type="pct"/>
            <w:tcBorders>
              <w:top w:val="nil"/>
              <w:left w:val="nil"/>
              <w:bottom w:val="nil"/>
              <w:right w:val="nil"/>
            </w:tcBorders>
            <w:shd w:val="clear" w:color="000000" w:fill="FFFFFF"/>
            <w:noWrap/>
            <w:vAlign w:val="bottom"/>
            <w:hideMark/>
          </w:tcPr>
          <w:p w14:paraId="347A0E24"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2,2</w:t>
            </w:r>
          </w:p>
        </w:tc>
        <w:tc>
          <w:tcPr>
            <w:tcW w:w="369" w:type="pct"/>
            <w:tcBorders>
              <w:top w:val="nil"/>
              <w:left w:val="nil"/>
              <w:bottom w:val="nil"/>
              <w:right w:val="nil"/>
            </w:tcBorders>
            <w:shd w:val="clear" w:color="000000" w:fill="FFFFFF"/>
            <w:noWrap/>
            <w:vAlign w:val="bottom"/>
            <w:hideMark/>
          </w:tcPr>
          <w:p w14:paraId="497D3C1E"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1,3</w:t>
            </w:r>
          </w:p>
        </w:tc>
        <w:tc>
          <w:tcPr>
            <w:tcW w:w="369" w:type="pct"/>
            <w:tcBorders>
              <w:top w:val="nil"/>
              <w:left w:val="nil"/>
              <w:bottom w:val="nil"/>
              <w:right w:val="nil"/>
            </w:tcBorders>
            <w:shd w:val="clear" w:color="000000" w:fill="FFFFFF"/>
            <w:noWrap/>
            <w:vAlign w:val="bottom"/>
            <w:hideMark/>
          </w:tcPr>
          <w:p w14:paraId="647817D9"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1,3</w:t>
            </w:r>
          </w:p>
        </w:tc>
      </w:tr>
      <w:tr w:rsidR="00C25373" w:rsidRPr="00C25373" w14:paraId="75451E40" w14:textId="77777777">
        <w:trPr>
          <w:trHeight w:val="255"/>
        </w:trPr>
        <w:tc>
          <w:tcPr>
            <w:tcW w:w="2726" w:type="pct"/>
            <w:tcBorders>
              <w:top w:val="nil"/>
              <w:left w:val="nil"/>
              <w:bottom w:val="nil"/>
              <w:right w:val="nil"/>
            </w:tcBorders>
            <w:shd w:val="clear" w:color="000000" w:fill="FFFFFF"/>
            <w:noWrap/>
            <w:vAlign w:val="bottom"/>
            <w:hideMark/>
          </w:tcPr>
          <w:p w14:paraId="6DFCC912"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Tasso di disoccupazione (medio; percentuale)</w:t>
            </w:r>
          </w:p>
        </w:tc>
        <w:tc>
          <w:tcPr>
            <w:tcW w:w="428" w:type="pct"/>
            <w:tcBorders>
              <w:top w:val="nil"/>
              <w:left w:val="nil"/>
              <w:bottom w:val="nil"/>
              <w:right w:val="nil"/>
            </w:tcBorders>
            <w:shd w:val="clear" w:color="000000" w:fill="FFFFFF"/>
            <w:noWrap/>
            <w:vAlign w:val="bottom"/>
            <w:hideMark/>
          </w:tcPr>
          <w:p w14:paraId="15BAB87E"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7,3</w:t>
            </w:r>
          </w:p>
        </w:tc>
        <w:tc>
          <w:tcPr>
            <w:tcW w:w="369" w:type="pct"/>
            <w:tcBorders>
              <w:top w:val="nil"/>
              <w:left w:val="nil"/>
              <w:bottom w:val="nil"/>
              <w:right w:val="nil"/>
            </w:tcBorders>
            <w:shd w:val="clear" w:color="000000" w:fill="FFFFFF"/>
            <w:noWrap/>
            <w:vAlign w:val="bottom"/>
            <w:hideMark/>
          </w:tcPr>
          <w:p w14:paraId="3744847A"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5,2</w:t>
            </w:r>
          </w:p>
        </w:tc>
        <w:tc>
          <w:tcPr>
            <w:tcW w:w="369" w:type="pct"/>
            <w:tcBorders>
              <w:top w:val="nil"/>
              <w:left w:val="nil"/>
              <w:bottom w:val="nil"/>
              <w:right w:val="nil"/>
            </w:tcBorders>
            <w:shd w:val="clear" w:color="000000" w:fill="FFFFFF"/>
            <w:noWrap/>
            <w:vAlign w:val="bottom"/>
            <w:hideMark/>
          </w:tcPr>
          <w:p w14:paraId="5A9B19D4"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4,3</w:t>
            </w:r>
          </w:p>
        </w:tc>
        <w:tc>
          <w:tcPr>
            <w:tcW w:w="369" w:type="pct"/>
            <w:tcBorders>
              <w:top w:val="nil"/>
              <w:left w:val="nil"/>
              <w:bottom w:val="nil"/>
              <w:right w:val="nil"/>
            </w:tcBorders>
            <w:shd w:val="clear" w:color="000000" w:fill="FFFFFF"/>
            <w:noWrap/>
            <w:vAlign w:val="bottom"/>
            <w:hideMark/>
          </w:tcPr>
          <w:p w14:paraId="0B3ACE3C"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4,0</w:t>
            </w:r>
          </w:p>
        </w:tc>
        <w:tc>
          <w:tcPr>
            <w:tcW w:w="369" w:type="pct"/>
            <w:tcBorders>
              <w:top w:val="nil"/>
              <w:left w:val="nil"/>
              <w:bottom w:val="nil"/>
              <w:right w:val="nil"/>
            </w:tcBorders>
            <w:shd w:val="clear" w:color="000000" w:fill="FFFFFF"/>
            <w:noWrap/>
            <w:vAlign w:val="bottom"/>
            <w:hideMark/>
          </w:tcPr>
          <w:p w14:paraId="6A067CB5"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3,9</w:t>
            </w:r>
          </w:p>
        </w:tc>
        <w:tc>
          <w:tcPr>
            <w:tcW w:w="369" w:type="pct"/>
            <w:tcBorders>
              <w:top w:val="nil"/>
              <w:left w:val="nil"/>
              <w:bottom w:val="nil"/>
              <w:right w:val="nil"/>
            </w:tcBorders>
            <w:shd w:val="clear" w:color="000000" w:fill="FFFFFF"/>
            <w:noWrap/>
            <w:vAlign w:val="bottom"/>
            <w:hideMark/>
          </w:tcPr>
          <w:p w14:paraId="15EB0C57"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3,9</w:t>
            </w:r>
          </w:p>
        </w:tc>
      </w:tr>
      <w:tr w:rsidR="00C25373" w:rsidRPr="00C25373" w14:paraId="137B4CC0" w14:textId="77777777">
        <w:trPr>
          <w:trHeight w:val="255"/>
        </w:trPr>
        <w:tc>
          <w:tcPr>
            <w:tcW w:w="2726" w:type="pct"/>
            <w:tcBorders>
              <w:top w:val="nil"/>
              <w:left w:val="nil"/>
              <w:bottom w:val="nil"/>
              <w:right w:val="nil"/>
            </w:tcBorders>
            <w:shd w:val="clear" w:color="000000" w:fill="FFFFFF"/>
            <w:noWrap/>
            <w:vAlign w:val="bottom"/>
            <w:hideMark/>
          </w:tcPr>
          <w:p w14:paraId="77A66360"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Tasso di inflazione (medio; percentuale)</w:t>
            </w:r>
          </w:p>
        </w:tc>
        <w:tc>
          <w:tcPr>
            <w:tcW w:w="428" w:type="pct"/>
            <w:tcBorders>
              <w:top w:val="nil"/>
              <w:left w:val="nil"/>
              <w:bottom w:val="nil"/>
              <w:right w:val="nil"/>
            </w:tcBorders>
            <w:shd w:val="clear" w:color="000000" w:fill="FFFFFF"/>
            <w:noWrap/>
            <w:vAlign w:val="bottom"/>
            <w:hideMark/>
          </w:tcPr>
          <w:p w14:paraId="453F49E5"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-0,1</w:t>
            </w:r>
          </w:p>
        </w:tc>
        <w:tc>
          <w:tcPr>
            <w:tcW w:w="369" w:type="pct"/>
            <w:tcBorders>
              <w:top w:val="nil"/>
              <w:left w:val="nil"/>
              <w:bottom w:val="nil"/>
              <w:right w:val="nil"/>
            </w:tcBorders>
            <w:shd w:val="clear" w:color="000000" w:fill="FFFFFF"/>
            <w:noWrap/>
            <w:vAlign w:val="bottom"/>
            <w:hideMark/>
          </w:tcPr>
          <w:p w14:paraId="28029EF3"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2,1</w:t>
            </w:r>
          </w:p>
        </w:tc>
        <w:tc>
          <w:tcPr>
            <w:tcW w:w="369" w:type="pct"/>
            <w:tcBorders>
              <w:top w:val="nil"/>
              <w:left w:val="nil"/>
              <w:bottom w:val="nil"/>
              <w:right w:val="nil"/>
            </w:tcBorders>
            <w:shd w:val="clear" w:color="000000" w:fill="FFFFFF"/>
            <w:noWrap/>
            <w:vAlign w:val="bottom"/>
            <w:hideMark/>
          </w:tcPr>
          <w:p w14:paraId="07989211"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5,3</w:t>
            </w:r>
          </w:p>
        </w:tc>
        <w:tc>
          <w:tcPr>
            <w:tcW w:w="369" w:type="pct"/>
            <w:tcBorders>
              <w:top w:val="nil"/>
              <w:left w:val="nil"/>
              <w:bottom w:val="nil"/>
              <w:right w:val="nil"/>
            </w:tcBorders>
            <w:shd w:val="clear" w:color="000000" w:fill="FFFFFF"/>
            <w:noWrap/>
            <w:vAlign w:val="bottom"/>
            <w:hideMark/>
          </w:tcPr>
          <w:p w14:paraId="03285C17"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5,9</w:t>
            </w:r>
          </w:p>
        </w:tc>
        <w:tc>
          <w:tcPr>
            <w:tcW w:w="369" w:type="pct"/>
            <w:tcBorders>
              <w:top w:val="nil"/>
              <w:left w:val="nil"/>
              <w:bottom w:val="nil"/>
              <w:right w:val="nil"/>
            </w:tcBorders>
            <w:shd w:val="clear" w:color="000000" w:fill="FFFFFF"/>
            <w:noWrap/>
            <w:vAlign w:val="bottom"/>
            <w:hideMark/>
          </w:tcPr>
          <w:p w14:paraId="3E617D87"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2,5</w:t>
            </w:r>
          </w:p>
        </w:tc>
        <w:tc>
          <w:tcPr>
            <w:tcW w:w="369" w:type="pct"/>
            <w:tcBorders>
              <w:top w:val="nil"/>
              <w:left w:val="nil"/>
              <w:bottom w:val="nil"/>
              <w:right w:val="nil"/>
            </w:tcBorders>
            <w:shd w:val="clear" w:color="000000" w:fill="FFFFFF"/>
            <w:noWrap/>
            <w:vAlign w:val="bottom"/>
            <w:hideMark/>
          </w:tcPr>
          <w:p w14:paraId="3D196D1A"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2,0</w:t>
            </w:r>
          </w:p>
        </w:tc>
      </w:tr>
      <w:tr w:rsidR="00C25373" w:rsidRPr="00C25373" w14:paraId="69FFE85F" w14:textId="77777777">
        <w:trPr>
          <w:trHeight w:val="300"/>
        </w:trPr>
        <w:tc>
          <w:tcPr>
            <w:tcW w:w="2726" w:type="pct"/>
            <w:tcBorders>
              <w:top w:val="nil"/>
              <w:left w:val="nil"/>
              <w:bottom w:val="nil"/>
              <w:right w:val="nil"/>
            </w:tcBorders>
            <w:shd w:val="clear" w:color="000000" w:fill="FFFFFF"/>
            <w:noWrap/>
            <w:vAlign w:val="bottom"/>
            <w:hideMark/>
          </w:tcPr>
          <w:p w14:paraId="7C3C0E1B"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PIL nominale (milioni di euro)</w:t>
            </w:r>
          </w:p>
        </w:tc>
        <w:tc>
          <w:tcPr>
            <w:tcW w:w="428" w:type="pct"/>
            <w:tcBorders>
              <w:top w:val="nil"/>
              <w:left w:val="nil"/>
              <w:bottom w:val="nil"/>
              <w:right w:val="nil"/>
            </w:tcBorders>
            <w:shd w:val="clear" w:color="000000" w:fill="FFFFFF"/>
            <w:noWrap/>
            <w:vAlign w:val="bottom"/>
            <w:hideMark/>
          </w:tcPr>
          <w:p w14:paraId="26F6100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1352</w:t>
            </w:r>
          </w:p>
        </w:tc>
        <w:tc>
          <w:tcPr>
            <w:tcW w:w="369" w:type="pct"/>
            <w:tcBorders>
              <w:top w:val="nil"/>
              <w:left w:val="nil"/>
              <w:bottom w:val="nil"/>
              <w:right w:val="nil"/>
            </w:tcBorders>
            <w:shd w:val="clear" w:color="000000" w:fill="FFFFFF"/>
            <w:noWrap/>
            <w:vAlign w:val="bottom"/>
            <w:hideMark/>
          </w:tcPr>
          <w:p w14:paraId="48D1BDE0"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1569</w:t>
            </w:r>
          </w:p>
        </w:tc>
        <w:tc>
          <w:tcPr>
            <w:tcW w:w="369" w:type="pct"/>
            <w:tcBorders>
              <w:top w:val="nil"/>
              <w:left w:val="nil"/>
              <w:bottom w:val="nil"/>
              <w:right w:val="nil"/>
            </w:tcBorders>
            <w:shd w:val="clear" w:color="000000" w:fill="FFFFFF"/>
            <w:noWrap/>
            <w:vAlign w:val="bottom"/>
            <w:hideMark/>
          </w:tcPr>
          <w:p w14:paraId="316E125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1693</w:t>
            </w:r>
          </w:p>
        </w:tc>
        <w:tc>
          <w:tcPr>
            <w:tcW w:w="369" w:type="pct"/>
            <w:tcBorders>
              <w:top w:val="nil"/>
              <w:left w:val="nil"/>
              <w:bottom w:val="nil"/>
              <w:right w:val="nil"/>
            </w:tcBorders>
            <w:shd w:val="clear" w:color="000000" w:fill="FFFFFF"/>
            <w:noWrap/>
            <w:vAlign w:val="bottom"/>
            <w:hideMark/>
          </w:tcPr>
          <w:p w14:paraId="66C276E2"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1836</w:t>
            </w:r>
          </w:p>
        </w:tc>
        <w:tc>
          <w:tcPr>
            <w:tcW w:w="369" w:type="pct"/>
            <w:tcBorders>
              <w:top w:val="nil"/>
              <w:left w:val="nil"/>
              <w:bottom w:val="nil"/>
              <w:right w:val="nil"/>
            </w:tcBorders>
            <w:shd w:val="clear" w:color="000000" w:fill="FFFFFF"/>
            <w:noWrap/>
            <w:vAlign w:val="bottom"/>
            <w:hideMark/>
          </w:tcPr>
          <w:p w14:paraId="4D57AFCA"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1924</w:t>
            </w:r>
          </w:p>
        </w:tc>
        <w:tc>
          <w:tcPr>
            <w:tcW w:w="369" w:type="pct"/>
            <w:tcBorders>
              <w:top w:val="nil"/>
              <w:left w:val="nil"/>
              <w:bottom w:val="nil"/>
              <w:right w:val="nil"/>
            </w:tcBorders>
            <w:shd w:val="clear" w:color="000000" w:fill="FFFFFF"/>
            <w:noWrap/>
            <w:vAlign w:val="bottom"/>
            <w:hideMark/>
          </w:tcPr>
          <w:p w14:paraId="37FFC39B"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1987</w:t>
            </w:r>
          </w:p>
        </w:tc>
      </w:tr>
      <w:tr w:rsidR="00C25373" w:rsidRPr="00C25373" w14:paraId="61CCE0F3" w14:textId="77777777">
        <w:trPr>
          <w:trHeight w:val="102"/>
        </w:trPr>
        <w:tc>
          <w:tcPr>
            <w:tcW w:w="2726" w:type="pct"/>
            <w:tcBorders>
              <w:top w:val="nil"/>
              <w:left w:val="nil"/>
              <w:bottom w:val="nil"/>
              <w:right w:val="nil"/>
            </w:tcBorders>
            <w:shd w:val="clear" w:color="000000" w:fill="FFFFFF"/>
            <w:noWrap/>
            <w:vAlign w:val="bottom"/>
            <w:hideMark/>
          </w:tcPr>
          <w:p w14:paraId="19828744"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428" w:type="pct"/>
            <w:tcBorders>
              <w:top w:val="nil"/>
              <w:left w:val="nil"/>
              <w:bottom w:val="nil"/>
              <w:right w:val="nil"/>
            </w:tcBorders>
            <w:shd w:val="clear" w:color="000000" w:fill="FFFFFF"/>
            <w:noWrap/>
            <w:vAlign w:val="bottom"/>
            <w:hideMark/>
          </w:tcPr>
          <w:p w14:paraId="3F8BEDC1"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762CEBD6"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34607212"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7304E3CB"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1DA3D8FC"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31C8074D"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r>
      <w:tr w:rsidR="00C25373" w:rsidRPr="00C25373" w14:paraId="7B3B3C01" w14:textId="77777777">
        <w:trPr>
          <w:trHeight w:val="282"/>
        </w:trPr>
        <w:tc>
          <w:tcPr>
            <w:tcW w:w="2726" w:type="pct"/>
            <w:tcBorders>
              <w:top w:val="nil"/>
              <w:left w:val="nil"/>
              <w:bottom w:val="nil"/>
              <w:right w:val="nil"/>
            </w:tcBorders>
            <w:shd w:val="clear" w:color="000000" w:fill="FFFFFF"/>
            <w:noWrap/>
            <w:vAlign w:val="bottom"/>
            <w:hideMark/>
          </w:tcPr>
          <w:p w14:paraId="0BDEAB2A" w14:textId="77777777" w:rsidR="00C25373" w:rsidRPr="006A2D2B" w:rsidRDefault="00C25373" w:rsidP="006A2D2B">
            <w:pPr>
              <w:spacing w:before="100" w:beforeAutospacing="1" w:after="100" w:afterAutospacing="1" w:line="240" w:lineRule="auto"/>
              <w:rPr>
                <w:rFonts w:ascii="Segoe UI" w:eastAsia="Times New Roman" w:hAnsi="Segoe UI" w:cs="Segoe UI"/>
                <w:b/>
                <w:bCs/>
                <w:color w:val="000000"/>
                <w:sz w:val="18"/>
                <w:szCs w:val="18"/>
              </w:rPr>
            </w:pPr>
            <w:r>
              <w:rPr>
                <w:rFonts w:ascii="Segoe UI" w:hAnsi="Segoe UI"/>
                <w:b/>
                <w:color w:val="000000"/>
                <w:sz w:val="18"/>
              </w:rPr>
              <w:t xml:space="preserve">Finanza Pubblica </w:t>
            </w:r>
            <w:r>
              <w:rPr>
                <w:rFonts w:ascii="Segoe UI" w:hAnsi="Segoe UI"/>
                <w:color w:val="000000"/>
                <w:sz w:val="18"/>
              </w:rPr>
              <w:t>(percentuale del PIL) 1/</w:t>
            </w:r>
          </w:p>
        </w:tc>
        <w:tc>
          <w:tcPr>
            <w:tcW w:w="428" w:type="pct"/>
            <w:tcBorders>
              <w:top w:val="nil"/>
              <w:left w:val="nil"/>
              <w:bottom w:val="nil"/>
              <w:right w:val="nil"/>
            </w:tcBorders>
            <w:shd w:val="clear" w:color="000000" w:fill="FFFFFF"/>
            <w:noWrap/>
            <w:vAlign w:val="bottom"/>
            <w:hideMark/>
          </w:tcPr>
          <w:p w14:paraId="78591869"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0D0A7027"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647D5352"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36F251BF"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0936E7E1"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1A6A4DE6"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r>
      <w:tr w:rsidR="00C25373" w:rsidRPr="00C25373" w14:paraId="3DB6CCF1" w14:textId="77777777">
        <w:trPr>
          <w:trHeight w:val="255"/>
        </w:trPr>
        <w:tc>
          <w:tcPr>
            <w:tcW w:w="2726" w:type="pct"/>
            <w:tcBorders>
              <w:top w:val="nil"/>
              <w:left w:val="nil"/>
              <w:bottom w:val="nil"/>
              <w:right w:val="nil"/>
            </w:tcBorders>
            <w:shd w:val="clear" w:color="000000" w:fill="FFFFFF"/>
            <w:noWrap/>
            <w:vAlign w:val="bottom"/>
            <w:hideMark/>
          </w:tcPr>
          <w:p w14:paraId="2A79EF32"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Entrate</w:t>
            </w:r>
          </w:p>
        </w:tc>
        <w:tc>
          <w:tcPr>
            <w:tcW w:w="428" w:type="pct"/>
            <w:tcBorders>
              <w:top w:val="nil"/>
              <w:left w:val="nil"/>
              <w:bottom w:val="nil"/>
              <w:right w:val="nil"/>
            </w:tcBorders>
            <w:shd w:val="clear" w:color="000000" w:fill="FFFFFF"/>
            <w:noWrap/>
            <w:vAlign w:val="bottom"/>
            <w:hideMark/>
          </w:tcPr>
          <w:p w14:paraId="22DA1C52"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21,6</w:t>
            </w:r>
          </w:p>
        </w:tc>
        <w:tc>
          <w:tcPr>
            <w:tcW w:w="369" w:type="pct"/>
            <w:tcBorders>
              <w:top w:val="nil"/>
              <w:left w:val="nil"/>
              <w:bottom w:val="nil"/>
              <w:right w:val="nil"/>
            </w:tcBorders>
            <w:shd w:val="clear" w:color="000000" w:fill="FFFFFF"/>
            <w:noWrap/>
            <w:vAlign w:val="bottom"/>
            <w:hideMark/>
          </w:tcPr>
          <w:p w14:paraId="247D3063"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20,7</w:t>
            </w:r>
          </w:p>
        </w:tc>
        <w:tc>
          <w:tcPr>
            <w:tcW w:w="369" w:type="pct"/>
            <w:tcBorders>
              <w:top w:val="nil"/>
              <w:left w:val="nil"/>
              <w:bottom w:val="nil"/>
              <w:right w:val="nil"/>
            </w:tcBorders>
            <w:shd w:val="clear" w:color="000000" w:fill="FFFFFF"/>
            <w:noWrap/>
            <w:vAlign w:val="bottom"/>
            <w:hideMark/>
          </w:tcPr>
          <w:p w14:paraId="71B5FB16"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22,7</w:t>
            </w:r>
          </w:p>
        </w:tc>
        <w:tc>
          <w:tcPr>
            <w:tcW w:w="369" w:type="pct"/>
            <w:tcBorders>
              <w:top w:val="nil"/>
              <w:left w:val="nil"/>
              <w:bottom w:val="nil"/>
              <w:right w:val="nil"/>
            </w:tcBorders>
            <w:shd w:val="clear" w:color="000000" w:fill="FFFFFF"/>
            <w:noWrap/>
            <w:vAlign w:val="bottom"/>
            <w:hideMark/>
          </w:tcPr>
          <w:p w14:paraId="6D6E72E0"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20,5</w:t>
            </w:r>
          </w:p>
        </w:tc>
        <w:tc>
          <w:tcPr>
            <w:tcW w:w="369" w:type="pct"/>
            <w:tcBorders>
              <w:top w:val="nil"/>
              <w:left w:val="nil"/>
              <w:bottom w:val="nil"/>
              <w:right w:val="nil"/>
            </w:tcBorders>
            <w:shd w:val="clear" w:color="000000" w:fill="FFFFFF"/>
            <w:noWrap/>
            <w:vAlign w:val="bottom"/>
            <w:hideMark/>
          </w:tcPr>
          <w:p w14:paraId="4139ED31"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19,7</w:t>
            </w:r>
          </w:p>
        </w:tc>
        <w:tc>
          <w:tcPr>
            <w:tcW w:w="369" w:type="pct"/>
            <w:tcBorders>
              <w:top w:val="nil"/>
              <w:left w:val="nil"/>
              <w:bottom w:val="nil"/>
              <w:right w:val="nil"/>
            </w:tcBorders>
            <w:shd w:val="clear" w:color="000000" w:fill="FFFFFF"/>
            <w:noWrap/>
            <w:vAlign w:val="bottom"/>
            <w:hideMark/>
          </w:tcPr>
          <w:p w14:paraId="664D4757"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19,7</w:t>
            </w:r>
          </w:p>
        </w:tc>
      </w:tr>
      <w:tr w:rsidR="00C25373" w:rsidRPr="00C25373" w14:paraId="107201D7" w14:textId="77777777">
        <w:trPr>
          <w:trHeight w:val="255"/>
        </w:trPr>
        <w:tc>
          <w:tcPr>
            <w:tcW w:w="2726" w:type="pct"/>
            <w:tcBorders>
              <w:top w:val="nil"/>
              <w:left w:val="nil"/>
              <w:bottom w:val="nil"/>
              <w:right w:val="nil"/>
            </w:tcBorders>
            <w:shd w:val="clear" w:color="000000" w:fill="FFFFFF"/>
            <w:noWrap/>
            <w:vAlign w:val="bottom"/>
            <w:hideMark/>
          </w:tcPr>
          <w:p w14:paraId="28E10874"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Uscite</w:t>
            </w:r>
          </w:p>
        </w:tc>
        <w:tc>
          <w:tcPr>
            <w:tcW w:w="428" w:type="pct"/>
            <w:tcBorders>
              <w:top w:val="nil"/>
              <w:left w:val="nil"/>
              <w:bottom w:val="nil"/>
              <w:right w:val="nil"/>
            </w:tcBorders>
            <w:shd w:val="clear" w:color="000000" w:fill="FFFFFF"/>
            <w:noWrap/>
            <w:vAlign w:val="bottom"/>
            <w:hideMark/>
          </w:tcPr>
          <w:p w14:paraId="5C0E07E1"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59,2</w:t>
            </w:r>
          </w:p>
        </w:tc>
        <w:tc>
          <w:tcPr>
            <w:tcW w:w="369" w:type="pct"/>
            <w:tcBorders>
              <w:top w:val="nil"/>
              <w:left w:val="nil"/>
              <w:bottom w:val="nil"/>
              <w:right w:val="nil"/>
            </w:tcBorders>
            <w:shd w:val="clear" w:color="000000" w:fill="FFFFFF"/>
            <w:noWrap/>
            <w:vAlign w:val="bottom"/>
            <w:hideMark/>
          </w:tcPr>
          <w:p w14:paraId="2151365B"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37,1</w:t>
            </w:r>
          </w:p>
        </w:tc>
        <w:tc>
          <w:tcPr>
            <w:tcW w:w="369" w:type="pct"/>
            <w:tcBorders>
              <w:top w:val="nil"/>
              <w:left w:val="nil"/>
              <w:bottom w:val="nil"/>
              <w:right w:val="nil"/>
            </w:tcBorders>
            <w:shd w:val="clear" w:color="000000" w:fill="FFFFFF"/>
            <w:noWrap/>
            <w:vAlign w:val="bottom"/>
            <w:hideMark/>
          </w:tcPr>
          <w:p w14:paraId="439EFEF3"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22,3</w:t>
            </w:r>
          </w:p>
        </w:tc>
        <w:tc>
          <w:tcPr>
            <w:tcW w:w="369" w:type="pct"/>
            <w:tcBorders>
              <w:top w:val="nil"/>
              <w:left w:val="nil"/>
              <w:bottom w:val="nil"/>
              <w:right w:val="nil"/>
            </w:tcBorders>
            <w:shd w:val="clear" w:color="000000" w:fill="FFFFFF"/>
            <w:noWrap/>
            <w:vAlign w:val="bottom"/>
            <w:hideMark/>
          </w:tcPr>
          <w:p w14:paraId="45A78B77"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22,7</w:t>
            </w:r>
          </w:p>
        </w:tc>
        <w:tc>
          <w:tcPr>
            <w:tcW w:w="369" w:type="pct"/>
            <w:tcBorders>
              <w:top w:val="nil"/>
              <w:left w:val="nil"/>
              <w:bottom w:val="nil"/>
              <w:right w:val="nil"/>
            </w:tcBorders>
            <w:shd w:val="clear" w:color="000000" w:fill="FFFFFF"/>
            <w:noWrap/>
            <w:vAlign w:val="bottom"/>
            <w:hideMark/>
          </w:tcPr>
          <w:p w14:paraId="479E303E"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21,3</w:t>
            </w:r>
          </w:p>
        </w:tc>
        <w:tc>
          <w:tcPr>
            <w:tcW w:w="369" w:type="pct"/>
            <w:tcBorders>
              <w:top w:val="nil"/>
              <w:left w:val="nil"/>
              <w:bottom w:val="nil"/>
              <w:right w:val="nil"/>
            </w:tcBorders>
            <w:shd w:val="clear" w:color="000000" w:fill="FFFFFF"/>
            <w:noWrap/>
            <w:vAlign w:val="bottom"/>
            <w:hideMark/>
          </w:tcPr>
          <w:p w14:paraId="1AAD9677"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21,1</w:t>
            </w:r>
          </w:p>
        </w:tc>
      </w:tr>
      <w:tr w:rsidR="00C25373" w:rsidRPr="00C25373" w14:paraId="0F25A177" w14:textId="77777777">
        <w:trPr>
          <w:trHeight w:val="255"/>
        </w:trPr>
        <w:tc>
          <w:tcPr>
            <w:tcW w:w="2726" w:type="pct"/>
            <w:tcBorders>
              <w:top w:val="nil"/>
              <w:left w:val="nil"/>
              <w:bottom w:val="nil"/>
              <w:right w:val="nil"/>
            </w:tcBorders>
            <w:shd w:val="clear" w:color="000000" w:fill="FFFFFF"/>
            <w:noWrap/>
            <w:vAlign w:val="bottom"/>
            <w:hideMark/>
          </w:tcPr>
          <w:p w14:paraId="00BD47D6"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Saldo complessivo</w:t>
            </w:r>
          </w:p>
        </w:tc>
        <w:tc>
          <w:tcPr>
            <w:tcW w:w="428" w:type="pct"/>
            <w:tcBorders>
              <w:top w:val="nil"/>
              <w:left w:val="nil"/>
              <w:bottom w:val="nil"/>
              <w:right w:val="nil"/>
            </w:tcBorders>
            <w:shd w:val="clear" w:color="000000" w:fill="FFFFFF"/>
            <w:noWrap/>
            <w:vAlign w:val="bottom"/>
            <w:hideMark/>
          </w:tcPr>
          <w:p w14:paraId="78798F17"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-37,6</w:t>
            </w:r>
          </w:p>
        </w:tc>
        <w:tc>
          <w:tcPr>
            <w:tcW w:w="369" w:type="pct"/>
            <w:tcBorders>
              <w:top w:val="nil"/>
              <w:left w:val="nil"/>
              <w:bottom w:val="nil"/>
              <w:right w:val="nil"/>
            </w:tcBorders>
            <w:shd w:val="clear" w:color="000000" w:fill="FFFFFF"/>
            <w:noWrap/>
            <w:vAlign w:val="bottom"/>
            <w:hideMark/>
          </w:tcPr>
          <w:p w14:paraId="6A7367F4"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-16,4</w:t>
            </w:r>
          </w:p>
        </w:tc>
        <w:tc>
          <w:tcPr>
            <w:tcW w:w="369" w:type="pct"/>
            <w:tcBorders>
              <w:top w:val="nil"/>
              <w:left w:val="nil"/>
              <w:bottom w:val="nil"/>
              <w:right w:val="nil"/>
            </w:tcBorders>
            <w:shd w:val="clear" w:color="000000" w:fill="FFFFFF"/>
            <w:noWrap/>
            <w:vAlign w:val="bottom"/>
            <w:hideMark/>
          </w:tcPr>
          <w:p w14:paraId="6867F81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0,4</w:t>
            </w:r>
          </w:p>
        </w:tc>
        <w:tc>
          <w:tcPr>
            <w:tcW w:w="369" w:type="pct"/>
            <w:tcBorders>
              <w:top w:val="nil"/>
              <w:left w:val="nil"/>
              <w:bottom w:val="nil"/>
              <w:right w:val="nil"/>
            </w:tcBorders>
            <w:shd w:val="clear" w:color="000000" w:fill="FFFFFF"/>
            <w:noWrap/>
            <w:vAlign w:val="bottom"/>
            <w:hideMark/>
          </w:tcPr>
          <w:p w14:paraId="77A5A59B"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-2,2</w:t>
            </w:r>
          </w:p>
        </w:tc>
        <w:tc>
          <w:tcPr>
            <w:tcW w:w="369" w:type="pct"/>
            <w:tcBorders>
              <w:top w:val="nil"/>
              <w:left w:val="nil"/>
              <w:bottom w:val="nil"/>
              <w:right w:val="nil"/>
            </w:tcBorders>
            <w:shd w:val="clear" w:color="000000" w:fill="FFFFFF"/>
            <w:noWrap/>
            <w:vAlign w:val="bottom"/>
            <w:hideMark/>
          </w:tcPr>
          <w:p w14:paraId="28CF12F0"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-1,6</w:t>
            </w:r>
          </w:p>
        </w:tc>
        <w:tc>
          <w:tcPr>
            <w:tcW w:w="369" w:type="pct"/>
            <w:tcBorders>
              <w:top w:val="nil"/>
              <w:left w:val="nil"/>
              <w:bottom w:val="nil"/>
              <w:right w:val="nil"/>
            </w:tcBorders>
            <w:shd w:val="clear" w:color="000000" w:fill="FFFFFF"/>
            <w:noWrap/>
            <w:vAlign w:val="bottom"/>
            <w:hideMark/>
          </w:tcPr>
          <w:p w14:paraId="2B163CC2"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-1,4</w:t>
            </w:r>
          </w:p>
        </w:tc>
      </w:tr>
      <w:tr w:rsidR="00C25373" w:rsidRPr="00C25373" w14:paraId="24C33F1B" w14:textId="77777777">
        <w:trPr>
          <w:trHeight w:val="255"/>
        </w:trPr>
        <w:tc>
          <w:tcPr>
            <w:tcW w:w="2726" w:type="pct"/>
            <w:tcBorders>
              <w:top w:val="nil"/>
              <w:left w:val="nil"/>
              <w:bottom w:val="nil"/>
              <w:right w:val="nil"/>
            </w:tcBorders>
            <w:shd w:val="clear" w:color="000000" w:fill="FFFFFF"/>
            <w:noWrap/>
            <w:vAlign w:val="bottom"/>
            <w:hideMark/>
          </w:tcPr>
          <w:p w14:paraId="31B0148B"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Debito pubblico (ufficiale)</w:t>
            </w:r>
          </w:p>
        </w:tc>
        <w:tc>
          <w:tcPr>
            <w:tcW w:w="428" w:type="pct"/>
            <w:tcBorders>
              <w:top w:val="nil"/>
              <w:left w:val="nil"/>
              <w:bottom w:val="nil"/>
              <w:right w:val="nil"/>
            </w:tcBorders>
            <w:shd w:val="clear" w:color="000000" w:fill="FFFFFF"/>
            <w:noWrap/>
            <w:vAlign w:val="bottom"/>
            <w:hideMark/>
          </w:tcPr>
          <w:p w14:paraId="4B10E8D2"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71,6</w:t>
            </w:r>
          </w:p>
        </w:tc>
        <w:tc>
          <w:tcPr>
            <w:tcW w:w="369" w:type="pct"/>
            <w:tcBorders>
              <w:top w:val="nil"/>
              <w:left w:val="nil"/>
              <w:bottom w:val="nil"/>
              <w:right w:val="nil"/>
            </w:tcBorders>
            <w:shd w:val="clear" w:color="000000" w:fill="FFFFFF"/>
            <w:noWrap/>
            <w:vAlign w:val="bottom"/>
            <w:hideMark/>
          </w:tcPr>
          <w:p w14:paraId="62C08F56"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63,0</w:t>
            </w:r>
          </w:p>
        </w:tc>
        <w:tc>
          <w:tcPr>
            <w:tcW w:w="369" w:type="pct"/>
            <w:tcBorders>
              <w:top w:val="nil"/>
              <w:left w:val="nil"/>
              <w:bottom w:val="nil"/>
              <w:right w:val="nil"/>
            </w:tcBorders>
            <w:shd w:val="clear" w:color="000000" w:fill="FFFFFF"/>
            <w:noWrap/>
            <w:vAlign w:val="bottom"/>
            <w:hideMark/>
          </w:tcPr>
          <w:p w14:paraId="1047C849"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71,7</w:t>
            </w:r>
          </w:p>
        </w:tc>
        <w:tc>
          <w:tcPr>
            <w:tcW w:w="369" w:type="pct"/>
            <w:tcBorders>
              <w:top w:val="nil"/>
              <w:left w:val="nil"/>
              <w:bottom w:val="nil"/>
              <w:right w:val="nil"/>
            </w:tcBorders>
            <w:shd w:val="clear" w:color="000000" w:fill="FFFFFF"/>
            <w:noWrap/>
            <w:vAlign w:val="bottom"/>
            <w:hideMark/>
          </w:tcPr>
          <w:p w14:paraId="2CDB5D8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67,6</w:t>
            </w:r>
          </w:p>
        </w:tc>
        <w:tc>
          <w:tcPr>
            <w:tcW w:w="369" w:type="pct"/>
            <w:tcBorders>
              <w:top w:val="nil"/>
              <w:left w:val="nil"/>
              <w:bottom w:val="nil"/>
              <w:right w:val="nil"/>
            </w:tcBorders>
            <w:shd w:val="clear" w:color="000000" w:fill="FFFFFF"/>
            <w:noWrap/>
            <w:vAlign w:val="bottom"/>
            <w:hideMark/>
          </w:tcPr>
          <w:p w14:paraId="769FE90B"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62,6</w:t>
            </w:r>
          </w:p>
        </w:tc>
        <w:tc>
          <w:tcPr>
            <w:tcW w:w="369" w:type="pct"/>
            <w:tcBorders>
              <w:top w:val="nil"/>
              <w:left w:val="nil"/>
              <w:bottom w:val="nil"/>
              <w:right w:val="nil"/>
            </w:tcBorders>
            <w:shd w:val="clear" w:color="000000" w:fill="FFFFFF"/>
            <w:noWrap/>
            <w:vAlign w:val="bottom"/>
            <w:hideMark/>
          </w:tcPr>
          <w:p w14:paraId="6FBC4580"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61,6</w:t>
            </w:r>
          </w:p>
        </w:tc>
      </w:tr>
      <w:tr w:rsidR="00C25373" w:rsidRPr="00C25373" w14:paraId="5BBF9059" w14:textId="77777777">
        <w:trPr>
          <w:trHeight w:val="255"/>
        </w:trPr>
        <w:tc>
          <w:tcPr>
            <w:tcW w:w="2726" w:type="pct"/>
            <w:tcBorders>
              <w:top w:val="nil"/>
              <w:left w:val="nil"/>
              <w:bottom w:val="nil"/>
              <w:right w:val="nil"/>
            </w:tcBorders>
            <w:shd w:val="clear" w:color="000000" w:fill="FFFFFF"/>
            <w:noWrap/>
            <w:vAlign w:val="bottom"/>
            <w:hideMark/>
          </w:tcPr>
          <w:p w14:paraId="7158AF2B"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Debito pubblico 2/</w:t>
            </w:r>
          </w:p>
        </w:tc>
        <w:tc>
          <w:tcPr>
            <w:tcW w:w="428" w:type="pct"/>
            <w:tcBorders>
              <w:top w:val="nil"/>
              <w:left w:val="nil"/>
              <w:bottom w:val="nil"/>
              <w:right w:val="nil"/>
            </w:tcBorders>
            <w:shd w:val="clear" w:color="000000" w:fill="FFFFFF"/>
            <w:noWrap/>
            <w:vAlign w:val="bottom"/>
            <w:hideMark/>
          </w:tcPr>
          <w:p w14:paraId="724505F2"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71,6</w:t>
            </w:r>
          </w:p>
        </w:tc>
        <w:tc>
          <w:tcPr>
            <w:tcW w:w="369" w:type="pct"/>
            <w:tcBorders>
              <w:top w:val="nil"/>
              <w:left w:val="nil"/>
              <w:bottom w:val="nil"/>
              <w:right w:val="nil"/>
            </w:tcBorders>
            <w:shd w:val="clear" w:color="000000" w:fill="FFFFFF"/>
            <w:noWrap/>
            <w:vAlign w:val="bottom"/>
            <w:hideMark/>
          </w:tcPr>
          <w:p w14:paraId="5D02028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81,3</w:t>
            </w:r>
          </w:p>
        </w:tc>
        <w:tc>
          <w:tcPr>
            <w:tcW w:w="369" w:type="pct"/>
            <w:tcBorders>
              <w:top w:val="nil"/>
              <w:left w:val="nil"/>
              <w:bottom w:val="nil"/>
              <w:right w:val="nil"/>
            </w:tcBorders>
            <w:shd w:val="clear" w:color="000000" w:fill="FFFFFF"/>
            <w:noWrap/>
            <w:vAlign w:val="bottom"/>
            <w:hideMark/>
          </w:tcPr>
          <w:p w14:paraId="312811B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76,7</w:t>
            </w:r>
          </w:p>
        </w:tc>
        <w:tc>
          <w:tcPr>
            <w:tcW w:w="369" w:type="pct"/>
            <w:tcBorders>
              <w:top w:val="nil"/>
              <w:left w:val="nil"/>
              <w:bottom w:val="nil"/>
              <w:right w:val="nil"/>
            </w:tcBorders>
            <w:shd w:val="clear" w:color="000000" w:fill="FFFFFF"/>
            <w:noWrap/>
            <w:vAlign w:val="bottom"/>
            <w:hideMark/>
          </w:tcPr>
          <w:p w14:paraId="693C926A"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72,2</w:t>
            </w:r>
          </w:p>
        </w:tc>
        <w:tc>
          <w:tcPr>
            <w:tcW w:w="369" w:type="pct"/>
            <w:tcBorders>
              <w:top w:val="nil"/>
              <w:left w:val="nil"/>
              <w:bottom w:val="nil"/>
              <w:right w:val="nil"/>
            </w:tcBorders>
            <w:shd w:val="clear" w:color="000000" w:fill="FFFFFF"/>
            <w:noWrap/>
            <w:vAlign w:val="bottom"/>
            <w:hideMark/>
          </w:tcPr>
          <w:p w14:paraId="53C9CCCA"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67,0</w:t>
            </w:r>
          </w:p>
        </w:tc>
        <w:tc>
          <w:tcPr>
            <w:tcW w:w="369" w:type="pct"/>
            <w:tcBorders>
              <w:top w:val="nil"/>
              <w:left w:val="nil"/>
              <w:bottom w:val="nil"/>
              <w:right w:val="nil"/>
            </w:tcBorders>
            <w:shd w:val="clear" w:color="000000" w:fill="FFFFFF"/>
            <w:noWrap/>
            <w:vAlign w:val="bottom"/>
            <w:hideMark/>
          </w:tcPr>
          <w:p w14:paraId="7FC24AE1"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65,9</w:t>
            </w:r>
          </w:p>
        </w:tc>
      </w:tr>
      <w:tr w:rsidR="00C25373" w:rsidRPr="00C25373" w14:paraId="1BD3B3CB" w14:textId="77777777">
        <w:trPr>
          <w:trHeight w:val="282"/>
        </w:trPr>
        <w:tc>
          <w:tcPr>
            <w:tcW w:w="2726" w:type="pct"/>
            <w:tcBorders>
              <w:top w:val="nil"/>
              <w:left w:val="nil"/>
              <w:bottom w:val="nil"/>
              <w:right w:val="nil"/>
            </w:tcBorders>
            <w:shd w:val="clear" w:color="000000" w:fill="FFFFFF"/>
            <w:noWrap/>
            <w:vAlign w:val="bottom"/>
          </w:tcPr>
          <w:p w14:paraId="5F1194DA" w14:textId="77777777" w:rsidR="00C25373" w:rsidRPr="006A2D2B" w:rsidRDefault="00C25373" w:rsidP="006A2D2B">
            <w:pPr>
              <w:spacing w:before="100" w:beforeAutospacing="1" w:after="100" w:afterAutospacing="1" w:line="240" w:lineRule="auto"/>
              <w:rPr>
                <w:rFonts w:ascii="Segoe UI" w:eastAsia="Times New Roman" w:hAnsi="Segoe UI" w:cs="Segoe UI"/>
                <w:b/>
                <w:bCs/>
                <w:color w:val="000000"/>
                <w:sz w:val="18"/>
                <w:szCs w:val="18"/>
              </w:rPr>
            </w:pPr>
          </w:p>
        </w:tc>
        <w:tc>
          <w:tcPr>
            <w:tcW w:w="428" w:type="pct"/>
            <w:tcBorders>
              <w:top w:val="nil"/>
              <w:left w:val="nil"/>
              <w:bottom w:val="nil"/>
              <w:right w:val="nil"/>
            </w:tcBorders>
            <w:shd w:val="clear" w:color="000000" w:fill="FFFFFF"/>
            <w:noWrap/>
            <w:vAlign w:val="bottom"/>
          </w:tcPr>
          <w:p w14:paraId="408845F6"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p>
        </w:tc>
        <w:tc>
          <w:tcPr>
            <w:tcW w:w="369" w:type="pct"/>
            <w:tcBorders>
              <w:top w:val="nil"/>
              <w:left w:val="nil"/>
              <w:bottom w:val="nil"/>
              <w:right w:val="nil"/>
            </w:tcBorders>
            <w:shd w:val="clear" w:color="000000" w:fill="FFFFFF"/>
            <w:noWrap/>
            <w:vAlign w:val="bottom"/>
          </w:tcPr>
          <w:p w14:paraId="46F0D53E"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p>
        </w:tc>
        <w:tc>
          <w:tcPr>
            <w:tcW w:w="369" w:type="pct"/>
            <w:tcBorders>
              <w:top w:val="nil"/>
              <w:left w:val="nil"/>
              <w:bottom w:val="nil"/>
              <w:right w:val="nil"/>
            </w:tcBorders>
            <w:shd w:val="clear" w:color="000000" w:fill="FFFFFF"/>
            <w:noWrap/>
            <w:vAlign w:val="bottom"/>
          </w:tcPr>
          <w:p w14:paraId="2031946D"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p>
        </w:tc>
        <w:tc>
          <w:tcPr>
            <w:tcW w:w="369" w:type="pct"/>
            <w:tcBorders>
              <w:top w:val="nil"/>
              <w:left w:val="nil"/>
              <w:bottom w:val="nil"/>
              <w:right w:val="nil"/>
            </w:tcBorders>
            <w:shd w:val="clear" w:color="000000" w:fill="FFFFFF"/>
            <w:noWrap/>
            <w:vAlign w:val="bottom"/>
          </w:tcPr>
          <w:p w14:paraId="2917D877"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p>
        </w:tc>
        <w:tc>
          <w:tcPr>
            <w:tcW w:w="369" w:type="pct"/>
            <w:tcBorders>
              <w:top w:val="nil"/>
              <w:left w:val="nil"/>
              <w:bottom w:val="nil"/>
              <w:right w:val="nil"/>
            </w:tcBorders>
            <w:shd w:val="clear" w:color="000000" w:fill="FFFFFF"/>
            <w:noWrap/>
            <w:vAlign w:val="bottom"/>
          </w:tcPr>
          <w:p w14:paraId="12D80FEB"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p>
        </w:tc>
        <w:tc>
          <w:tcPr>
            <w:tcW w:w="369" w:type="pct"/>
            <w:tcBorders>
              <w:top w:val="nil"/>
              <w:left w:val="nil"/>
              <w:bottom w:val="nil"/>
              <w:right w:val="nil"/>
            </w:tcBorders>
            <w:shd w:val="clear" w:color="000000" w:fill="FFFFFF"/>
            <w:noWrap/>
            <w:vAlign w:val="bottom"/>
          </w:tcPr>
          <w:p w14:paraId="05E7772D"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p>
        </w:tc>
      </w:tr>
      <w:tr w:rsidR="00C25373" w:rsidRPr="00C25373" w14:paraId="041CB811" w14:textId="77777777">
        <w:trPr>
          <w:trHeight w:val="282"/>
        </w:trPr>
        <w:tc>
          <w:tcPr>
            <w:tcW w:w="2726" w:type="pct"/>
            <w:tcBorders>
              <w:top w:val="nil"/>
              <w:left w:val="nil"/>
              <w:bottom w:val="nil"/>
              <w:right w:val="nil"/>
            </w:tcBorders>
            <w:shd w:val="clear" w:color="000000" w:fill="FFFFFF"/>
            <w:noWrap/>
            <w:vAlign w:val="bottom"/>
            <w:hideMark/>
          </w:tcPr>
          <w:p w14:paraId="23A5404D" w14:textId="77777777" w:rsidR="00C25373" w:rsidRPr="006A2D2B" w:rsidRDefault="00C25373" w:rsidP="006A2D2B">
            <w:pPr>
              <w:spacing w:before="100" w:beforeAutospacing="1" w:after="100" w:afterAutospacing="1" w:line="240" w:lineRule="auto"/>
              <w:rPr>
                <w:rFonts w:ascii="Segoe UI" w:eastAsia="Times New Roman" w:hAnsi="Segoe UI" w:cs="Segoe UI"/>
                <w:b/>
                <w:bCs/>
                <w:color w:val="000000"/>
                <w:sz w:val="18"/>
                <w:szCs w:val="18"/>
              </w:rPr>
            </w:pPr>
            <w:r>
              <w:rPr>
                <w:rFonts w:ascii="Segoe UI" w:hAnsi="Segoe UI"/>
                <w:b/>
                <w:color w:val="000000"/>
                <w:sz w:val="18"/>
              </w:rPr>
              <w:t>Denaro e Credito</w:t>
            </w:r>
          </w:p>
        </w:tc>
        <w:tc>
          <w:tcPr>
            <w:tcW w:w="428" w:type="pct"/>
            <w:tcBorders>
              <w:top w:val="nil"/>
              <w:left w:val="nil"/>
              <w:bottom w:val="nil"/>
              <w:right w:val="nil"/>
            </w:tcBorders>
            <w:shd w:val="clear" w:color="000000" w:fill="FFFFFF"/>
            <w:noWrap/>
            <w:vAlign w:val="bottom"/>
            <w:hideMark/>
          </w:tcPr>
          <w:p w14:paraId="15A07D60"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48F69694"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36FB8947"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6ACE36A4"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04132738"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6DD449B6"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r>
      <w:tr w:rsidR="00F472A8" w:rsidRPr="00F472A8" w14:paraId="0E127AE1" w14:textId="77777777">
        <w:trPr>
          <w:trHeight w:val="255"/>
        </w:trPr>
        <w:tc>
          <w:tcPr>
            <w:tcW w:w="2726" w:type="pct"/>
            <w:tcBorders>
              <w:top w:val="nil"/>
              <w:left w:val="nil"/>
              <w:bottom w:val="nil"/>
              <w:right w:val="nil"/>
            </w:tcBorders>
            <w:shd w:val="clear" w:color="000000" w:fill="FFFFFF"/>
            <w:noWrap/>
            <w:vAlign w:val="bottom"/>
            <w:hideMark/>
          </w:tcPr>
          <w:p w14:paraId="5CCE1BD9"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Depositi (variazione percentuale)</w:t>
            </w:r>
          </w:p>
        </w:tc>
        <w:tc>
          <w:tcPr>
            <w:tcW w:w="428" w:type="pct"/>
            <w:tcBorders>
              <w:top w:val="nil"/>
              <w:left w:val="nil"/>
              <w:bottom w:val="nil"/>
              <w:right w:val="nil"/>
            </w:tcBorders>
            <w:shd w:val="clear" w:color="auto" w:fill="auto"/>
            <w:noWrap/>
            <w:vAlign w:val="bottom"/>
            <w:hideMark/>
          </w:tcPr>
          <w:p w14:paraId="6A0F2C1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3,1</w:t>
            </w:r>
          </w:p>
        </w:tc>
        <w:tc>
          <w:tcPr>
            <w:tcW w:w="369" w:type="pct"/>
            <w:tcBorders>
              <w:top w:val="nil"/>
              <w:left w:val="nil"/>
              <w:bottom w:val="nil"/>
              <w:right w:val="nil"/>
            </w:tcBorders>
            <w:shd w:val="clear" w:color="auto" w:fill="auto"/>
            <w:noWrap/>
            <w:vAlign w:val="bottom"/>
            <w:hideMark/>
          </w:tcPr>
          <w:p w14:paraId="631B93DF"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3,2</w:t>
            </w:r>
          </w:p>
        </w:tc>
        <w:tc>
          <w:tcPr>
            <w:tcW w:w="369" w:type="pct"/>
            <w:tcBorders>
              <w:top w:val="nil"/>
              <w:left w:val="nil"/>
              <w:bottom w:val="nil"/>
              <w:right w:val="nil"/>
            </w:tcBorders>
            <w:shd w:val="clear" w:color="auto" w:fill="auto"/>
            <w:noWrap/>
            <w:vAlign w:val="bottom"/>
            <w:hideMark/>
          </w:tcPr>
          <w:p w14:paraId="3404B53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1,7</w:t>
            </w:r>
          </w:p>
        </w:tc>
        <w:tc>
          <w:tcPr>
            <w:tcW w:w="369" w:type="pct"/>
            <w:tcBorders>
              <w:top w:val="nil"/>
              <w:left w:val="nil"/>
              <w:bottom w:val="nil"/>
              <w:right w:val="nil"/>
            </w:tcBorders>
            <w:shd w:val="clear" w:color="000000" w:fill="FFFFFF"/>
            <w:noWrap/>
            <w:vAlign w:val="bottom"/>
            <w:hideMark/>
          </w:tcPr>
          <w:p w14:paraId="33A8EBB4"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7267215E"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79781033"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r>
      <w:tr w:rsidR="00C25373" w:rsidRPr="00C25373" w14:paraId="33969E86" w14:textId="77777777">
        <w:trPr>
          <w:trHeight w:val="255"/>
        </w:trPr>
        <w:tc>
          <w:tcPr>
            <w:tcW w:w="2726" w:type="pct"/>
            <w:tcBorders>
              <w:top w:val="nil"/>
              <w:left w:val="nil"/>
              <w:bottom w:val="nil"/>
              <w:right w:val="nil"/>
            </w:tcBorders>
            <w:shd w:val="clear" w:color="000000" w:fill="FFFFFF"/>
            <w:noWrap/>
            <w:vAlign w:val="bottom"/>
            <w:hideMark/>
          </w:tcPr>
          <w:p w14:paraId="7600B113"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Credito del settore privato (variazione percentuale)</w:t>
            </w:r>
          </w:p>
        </w:tc>
        <w:tc>
          <w:tcPr>
            <w:tcW w:w="428" w:type="pct"/>
            <w:tcBorders>
              <w:top w:val="nil"/>
              <w:left w:val="nil"/>
              <w:bottom w:val="nil"/>
              <w:right w:val="nil"/>
            </w:tcBorders>
            <w:shd w:val="clear" w:color="000000" w:fill="FFFFFF"/>
            <w:noWrap/>
            <w:vAlign w:val="bottom"/>
            <w:hideMark/>
          </w:tcPr>
          <w:p w14:paraId="13960D9B"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-4,1</w:t>
            </w:r>
          </w:p>
        </w:tc>
        <w:tc>
          <w:tcPr>
            <w:tcW w:w="369" w:type="pct"/>
            <w:tcBorders>
              <w:top w:val="nil"/>
              <w:left w:val="nil"/>
              <w:bottom w:val="nil"/>
              <w:right w:val="nil"/>
            </w:tcBorders>
            <w:shd w:val="clear" w:color="000000" w:fill="FFFFFF"/>
            <w:noWrap/>
            <w:vAlign w:val="bottom"/>
            <w:hideMark/>
          </w:tcPr>
          <w:p w14:paraId="7E94B5C4"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-10,8</w:t>
            </w:r>
          </w:p>
        </w:tc>
        <w:tc>
          <w:tcPr>
            <w:tcW w:w="369" w:type="pct"/>
            <w:tcBorders>
              <w:top w:val="nil"/>
              <w:left w:val="nil"/>
              <w:bottom w:val="nil"/>
              <w:right w:val="nil"/>
            </w:tcBorders>
            <w:shd w:val="clear" w:color="000000" w:fill="FFFFFF"/>
            <w:noWrap/>
            <w:vAlign w:val="bottom"/>
            <w:hideMark/>
          </w:tcPr>
          <w:p w14:paraId="2A0E24D4"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0,0</w:t>
            </w:r>
          </w:p>
        </w:tc>
        <w:tc>
          <w:tcPr>
            <w:tcW w:w="369" w:type="pct"/>
            <w:tcBorders>
              <w:top w:val="nil"/>
              <w:left w:val="nil"/>
              <w:bottom w:val="nil"/>
              <w:right w:val="nil"/>
            </w:tcBorders>
            <w:shd w:val="clear" w:color="000000" w:fill="FFFFFF"/>
            <w:noWrap/>
            <w:vAlign w:val="bottom"/>
            <w:hideMark/>
          </w:tcPr>
          <w:p w14:paraId="7BA79FF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68B0EDD2"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66A06D86"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r>
      <w:tr w:rsidR="00C25373" w:rsidRPr="00C25373" w14:paraId="34E0764E" w14:textId="77777777">
        <w:trPr>
          <w:trHeight w:val="300"/>
        </w:trPr>
        <w:tc>
          <w:tcPr>
            <w:tcW w:w="2726" w:type="pct"/>
            <w:tcBorders>
              <w:top w:val="nil"/>
              <w:left w:val="nil"/>
              <w:bottom w:val="nil"/>
              <w:right w:val="nil"/>
            </w:tcBorders>
            <w:shd w:val="clear" w:color="000000" w:fill="FFFFFF"/>
            <w:noWrap/>
            <w:vAlign w:val="bottom"/>
            <w:hideMark/>
          </w:tcPr>
          <w:p w14:paraId="344C4349"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Attività estere nette (in percentuale del PIL)</w:t>
            </w:r>
          </w:p>
        </w:tc>
        <w:tc>
          <w:tcPr>
            <w:tcW w:w="428" w:type="pct"/>
            <w:tcBorders>
              <w:top w:val="nil"/>
              <w:left w:val="nil"/>
              <w:bottom w:val="nil"/>
              <w:right w:val="nil"/>
            </w:tcBorders>
            <w:shd w:val="clear" w:color="000000" w:fill="FFFFFF"/>
            <w:noWrap/>
            <w:vAlign w:val="bottom"/>
            <w:hideMark/>
          </w:tcPr>
          <w:p w14:paraId="6CBE21BB"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141,4</w:t>
            </w:r>
          </w:p>
        </w:tc>
        <w:tc>
          <w:tcPr>
            <w:tcW w:w="369" w:type="pct"/>
            <w:tcBorders>
              <w:top w:val="nil"/>
              <w:left w:val="nil"/>
              <w:bottom w:val="nil"/>
              <w:right w:val="nil"/>
            </w:tcBorders>
            <w:shd w:val="clear" w:color="000000" w:fill="FFFFFF"/>
            <w:noWrap/>
            <w:vAlign w:val="bottom"/>
            <w:hideMark/>
          </w:tcPr>
          <w:p w14:paraId="5520F772"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137,3</w:t>
            </w:r>
          </w:p>
        </w:tc>
        <w:tc>
          <w:tcPr>
            <w:tcW w:w="369" w:type="pct"/>
            <w:tcBorders>
              <w:top w:val="nil"/>
              <w:left w:val="nil"/>
              <w:bottom w:val="nil"/>
              <w:right w:val="nil"/>
            </w:tcBorders>
            <w:shd w:val="clear" w:color="000000" w:fill="FFFFFF"/>
            <w:noWrap/>
            <w:vAlign w:val="bottom"/>
            <w:hideMark/>
          </w:tcPr>
          <w:p w14:paraId="6CC1BBA2"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122,8</w:t>
            </w:r>
          </w:p>
        </w:tc>
        <w:tc>
          <w:tcPr>
            <w:tcW w:w="369" w:type="pct"/>
            <w:tcBorders>
              <w:top w:val="nil"/>
              <w:left w:val="nil"/>
              <w:bottom w:val="nil"/>
              <w:right w:val="nil"/>
            </w:tcBorders>
            <w:shd w:val="clear" w:color="000000" w:fill="FFFFFF"/>
            <w:noWrap/>
            <w:vAlign w:val="bottom"/>
            <w:hideMark/>
          </w:tcPr>
          <w:p w14:paraId="5F48334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6FE42DB1"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1FB9C5A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r>
      <w:tr w:rsidR="00C25373" w:rsidRPr="00C25373" w14:paraId="5A634A3E" w14:textId="77777777">
        <w:trPr>
          <w:trHeight w:val="102"/>
        </w:trPr>
        <w:tc>
          <w:tcPr>
            <w:tcW w:w="2726" w:type="pct"/>
            <w:tcBorders>
              <w:top w:val="nil"/>
              <w:left w:val="nil"/>
              <w:bottom w:val="nil"/>
              <w:right w:val="nil"/>
            </w:tcBorders>
            <w:shd w:val="clear" w:color="000000" w:fill="FFFFFF"/>
            <w:noWrap/>
            <w:vAlign w:val="bottom"/>
            <w:hideMark/>
          </w:tcPr>
          <w:p w14:paraId="222751A0"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428" w:type="pct"/>
            <w:tcBorders>
              <w:top w:val="nil"/>
              <w:left w:val="nil"/>
              <w:bottom w:val="nil"/>
              <w:right w:val="nil"/>
            </w:tcBorders>
            <w:shd w:val="clear" w:color="000000" w:fill="FFFFFF"/>
            <w:noWrap/>
            <w:vAlign w:val="bottom"/>
            <w:hideMark/>
          </w:tcPr>
          <w:p w14:paraId="59731EF2"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3077101E"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62B21F72"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666D3C5E"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07B1C7D4"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4A4BD626"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r>
      <w:tr w:rsidR="00C25373" w:rsidRPr="00C25373" w14:paraId="64E37B93" w14:textId="77777777">
        <w:trPr>
          <w:trHeight w:val="255"/>
        </w:trPr>
        <w:tc>
          <w:tcPr>
            <w:tcW w:w="2726" w:type="pct"/>
            <w:tcBorders>
              <w:top w:val="nil"/>
              <w:left w:val="nil"/>
              <w:bottom w:val="nil"/>
              <w:right w:val="nil"/>
            </w:tcBorders>
            <w:shd w:val="clear" w:color="000000" w:fill="FFFFFF"/>
            <w:noWrap/>
            <w:vAlign w:val="bottom"/>
            <w:hideMark/>
          </w:tcPr>
          <w:p w14:paraId="2E240F94" w14:textId="77777777" w:rsidR="00C25373" w:rsidRPr="006A2D2B" w:rsidRDefault="00C25373" w:rsidP="006A2D2B">
            <w:pPr>
              <w:spacing w:before="100" w:beforeAutospacing="1" w:after="100" w:afterAutospacing="1" w:line="240" w:lineRule="auto"/>
              <w:rPr>
                <w:rFonts w:ascii="Segoe UI" w:eastAsia="Times New Roman" w:hAnsi="Segoe UI" w:cs="Segoe UI"/>
                <w:b/>
                <w:bCs/>
                <w:color w:val="000000"/>
                <w:sz w:val="18"/>
                <w:szCs w:val="18"/>
              </w:rPr>
            </w:pPr>
            <w:r>
              <w:rPr>
                <w:rFonts w:ascii="Segoe UI" w:hAnsi="Segoe UI"/>
                <w:b/>
                <w:color w:val="000000"/>
                <w:sz w:val="18"/>
              </w:rPr>
              <w:t>Conti esterni</w:t>
            </w:r>
            <w:r>
              <w:rPr>
                <w:rFonts w:ascii="Segoe UI" w:hAnsi="Segoe UI"/>
                <w:color w:val="000000"/>
                <w:sz w:val="18"/>
              </w:rPr>
              <w:t xml:space="preserve"> (in percentuale del PIL)</w:t>
            </w:r>
          </w:p>
        </w:tc>
        <w:tc>
          <w:tcPr>
            <w:tcW w:w="428" w:type="pct"/>
            <w:tcBorders>
              <w:top w:val="nil"/>
              <w:left w:val="nil"/>
              <w:bottom w:val="nil"/>
              <w:right w:val="nil"/>
            </w:tcBorders>
            <w:shd w:val="clear" w:color="000000" w:fill="FFFFFF"/>
            <w:noWrap/>
            <w:vAlign w:val="bottom"/>
            <w:hideMark/>
          </w:tcPr>
          <w:p w14:paraId="38767F8D"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35081572"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122B8C5C"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2BB46603"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42BA4A98"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7FCC8A52"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r>
      <w:tr w:rsidR="00C25373" w:rsidRPr="00C25373" w14:paraId="4740E041" w14:textId="77777777">
        <w:trPr>
          <w:trHeight w:val="255"/>
        </w:trPr>
        <w:tc>
          <w:tcPr>
            <w:tcW w:w="2726" w:type="pct"/>
            <w:tcBorders>
              <w:top w:val="nil"/>
              <w:left w:val="nil"/>
              <w:bottom w:val="nil"/>
              <w:right w:val="nil"/>
            </w:tcBorders>
            <w:shd w:val="clear" w:color="000000" w:fill="FFFFFF"/>
            <w:noWrap/>
            <w:vAlign w:val="bottom"/>
            <w:hideMark/>
          </w:tcPr>
          <w:p w14:paraId="0608A620"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Saldo delle partite correnti 3/</w:t>
            </w:r>
          </w:p>
        </w:tc>
        <w:tc>
          <w:tcPr>
            <w:tcW w:w="428" w:type="pct"/>
            <w:tcBorders>
              <w:top w:val="nil"/>
              <w:left w:val="nil"/>
              <w:bottom w:val="nil"/>
              <w:right w:val="nil"/>
            </w:tcBorders>
            <w:shd w:val="clear" w:color="000000" w:fill="FFFFFF"/>
            <w:noWrap/>
            <w:vAlign w:val="bottom"/>
            <w:hideMark/>
          </w:tcPr>
          <w:p w14:paraId="14D9C66F"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2,8</w:t>
            </w:r>
          </w:p>
        </w:tc>
        <w:tc>
          <w:tcPr>
            <w:tcW w:w="369" w:type="pct"/>
            <w:tcBorders>
              <w:top w:val="nil"/>
              <w:left w:val="nil"/>
              <w:bottom w:val="nil"/>
              <w:right w:val="nil"/>
            </w:tcBorders>
            <w:shd w:val="clear" w:color="000000" w:fill="FFFFFF"/>
            <w:noWrap/>
            <w:vAlign w:val="bottom"/>
            <w:hideMark/>
          </w:tcPr>
          <w:p w14:paraId="019E5BA2"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6,5</w:t>
            </w:r>
          </w:p>
        </w:tc>
        <w:tc>
          <w:tcPr>
            <w:tcW w:w="369" w:type="pct"/>
            <w:tcBorders>
              <w:top w:val="nil"/>
              <w:left w:val="nil"/>
              <w:bottom w:val="nil"/>
              <w:right w:val="nil"/>
            </w:tcBorders>
            <w:shd w:val="clear" w:color="000000" w:fill="FFFFFF"/>
            <w:noWrap/>
            <w:vAlign w:val="bottom"/>
            <w:hideMark/>
          </w:tcPr>
          <w:p w14:paraId="332DF805"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8,0</w:t>
            </w:r>
          </w:p>
        </w:tc>
        <w:tc>
          <w:tcPr>
            <w:tcW w:w="369" w:type="pct"/>
            <w:tcBorders>
              <w:top w:val="nil"/>
              <w:left w:val="nil"/>
              <w:bottom w:val="nil"/>
              <w:right w:val="nil"/>
            </w:tcBorders>
            <w:shd w:val="clear" w:color="000000" w:fill="FFFFFF"/>
            <w:noWrap/>
            <w:vAlign w:val="bottom"/>
            <w:hideMark/>
          </w:tcPr>
          <w:p w14:paraId="0590AB11"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3,8</w:t>
            </w:r>
          </w:p>
        </w:tc>
        <w:tc>
          <w:tcPr>
            <w:tcW w:w="369" w:type="pct"/>
            <w:tcBorders>
              <w:top w:val="nil"/>
              <w:left w:val="nil"/>
              <w:bottom w:val="nil"/>
              <w:right w:val="nil"/>
            </w:tcBorders>
            <w:shd w:val="clear" w:color="000000" w:fill="FFFFFF"/>
            <w:noWrap/>
            <w:vAlign w:val="bottom"/>
            <w:hideMark/>
          </w:tcPr>
          <w:p w14:paraId="19FF6297"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2,9</w:t>
            </w:r>
          </w:p>
        </w:tc>
        <w:tc>
          <w:tcPr>
            <w:tcW w:w="369" w:type="pct"/>
            <w:tcBorders>
              <w:top w:val="nil"/>
              <w:left w:val="nil"/>
              <w:bottom w:val="nil"/>
              <w:right w:val="nil"/>
            </w:tcBorders>
            <w:shd w:val="clear" w:color="000000" w:fill="FFFFFF"/>
            <w:noWrap/>
            <w:vAlign w:val="bottom"/>
            <w:hideMark/>
          </w:tcPr>
          <w:p w14:paraId="7575E78C"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2,1</w:t>
            </w:r>
          </w:p>
        </w:tc>
      </w:tr>
      <w:tr w:rsidR="00C25373" w:rsidRPr="00C25373" w14:paraId="5F37A381" w14:textId="77777777">
        <w:trPr>
          <w:trHeight w:val="255"/>
        </w:trPr>
        <w:tc>
          <w:tcPr>
            <w:tcW w:w="2726" w:type="pct"/>
            <w:tcBorders>
              <w:top w:val="nil"/>
              <w:left w:val="nil"/>
              <w:bottom w:val="nil"/>
              <w:right w:val="nil"/>
            </w:tcBorders>
            <w:shd w:val="clear" w:color="000000" w:fill="FFFFFF"/>
            <w:noWrap/>
            <w:vAlign w:val="bottom"/>
            <w:hideMark/>
          </w:tcPr>
          <w:p w14:paraId="1EE7FF8C"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Riserve internazionali lorde (in milioni di euro) </w:t>
            </w:r>
          </w:p>
        </w:tc>
        <w:tc>
          <w:tcPr>
            <w:tcW w:w="428" w:type="pct"/>
            <w:tcBorders>
              <w:top w:val="nil"/>
              <w:left w:val="nil"/>
              <w:bottom w:val="nil"/>
              <w:right w:val="nil"/>
            </w:tcBorders>
            <w:shd w:val="clear" w:color="000000" w:fill="FFFFFF"/>
            <w:noWrap/>
            <w:vAlign w:val="bottom"/>
            <w:hideMark/>
          </w:tcPr>
          <w:p w14:paraId="454360D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636,7</w:t>
            </w:r>
          </w:p>
        </w:tc>
        <w:tc>
          <w:tcPr>
            <w:tcW w:w="369" w:type="pct"/>
            <w:tcBorders>
              <w:top w:val="nil"/>
              <w:left w:val="nil"/>
              <w:bottom w:val="nil"/>
              <w:right w:val="nil"/>
            </w:tcBorders>
            <w:shd w:val="clear" w:color="000000" w:fill="FFFFFF"/>
            <w:noWrap/>
            <w:vAlign w:val="bottom"/>
            <w:hideMark/>
          </w:tcPr>
          <w:p w14:paraId="44E72725"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842,4</w:t>
            </w:r>
          </w:p>
        </w:tc>
        <w:tc>
          <w:tcPr>
            <w:tcW w:w="369" w:type="pct"/>
            <w:tcBorders>
              <w:top w:val="nil"/>
              <w:left w:val="nil"/>
              <w:bottom w:val="nil"/>
              <w:right w:val="nil"/>
            </w:tcBorders>
            <w:shd w:val="clear" w:color="000000" w:fill="FFFFFF"/>
            <w:noWrap/>
            <w:vAlign w:val="bottom"/>
            <w:hideMark/>
          </w:tcPr>
          <w:p w14:paraId="72D586C3"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671,1</w:t>
            </w:r>
          </w:p>
        </w:tc>
        <w:tc>
          <w:tcPr>
            <w:tcW w:w="369" w:type="pct"/>
            <w:tcBorders>
              <w:top w:val="nil"/>
              <w:left w:val="nil"/>
              <w:bottom w:val="nil"/>
              <w:right w:val="nil"/>
            </w:tcBorders>
            <w:shd w:val="clear" w:color="000000" w:fill="FFFFFF"/>
            <w:noWrap/>
            <w:vAlign w:val="bottom"/>
            <w:hideMark/>
          </w:tcPr>
          <w:p w14:paraId="049FDC42"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651,1</w:t>
            </w:r>
          </w:p>
        </w:tc>
        <w:tc>
          <w:tcPr>
            <w:tcW w:w="369" w:type="pct"/>
            <w:tcBorders>
              <w:top w:val="nil"/>
              <w:left w:val="nil"/>
              <w:bottom w:val="nil"/>
              <w:right w:val="nil"/>
            </w:tcBorders>
            <w:shd w:val="clear" w:color="000000" w:fill="FFFFFF"/>
            <w:noWrap/>
            <w:vAlign w:val="bottom"/>
            <w:hideMark/>
          </w:tcPr>
          <w:p w14:paraId="03D1755F"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641,1</w:t>
            </w:r>
          </w:p>
        </w:tc>
        <w:tc>
          <w:tcPr>
            <w:tcW w:w="369" w:type="pct"/>
            <w:tcBorders>
              <w:top w:val="nil"/>
              <w:left w:val="nil"/>
              <w:bottom w:val="nil"/>
              <w:right w:val="nil"/>
            </w:tcBorders>
            <w:shd w:val="clear" w:color="000000" w:fill="FFFFFF"/>
            <w:noWrap/>
            <w:vAlign w:val="bottom"/>
            <w:hideMark/>
          </w:tcPr>
          <w:p w14:paraId="15906321"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641,1</w:t>
            </w:r>
          </w:p>
        </w:tc>
      </w:tr>
      <w:tr w:rsidR="00C25373" w:rsidRPr="00C25373" w14:paraId="44EA373E" w14:textId="77777777">
        <w:trPr>
          <w:trHeight w:val="120"/>
        </w:trPr>
        <w:tc>
          <w:tcPr>
            <w:tcW w:w="2726" w:type="pct"/>
            <w:tcBorders>
              <w:top w:val="nil"/>
              <w:left w:val="nil"/>
              <w:bottom w:val="nil"/>
              <w:right w:val="nil"/>
            </w:tcBorders>
            <w:shd w:val="clear" w:color="000000" w:fill="FFFFFF"/>
            <w:noWrap/>
            <w:vAlign w:val="bottom"/>
            <w:hideMark/>
          </w:tcPr>
          <w:p w14:paraId="748886BE"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428" w:type="pct"/>
            <w:tcBorders>
              <w:top w:val="nil"/>
              <w:left w:val="nil"/>
              <w:bottom w:val="nil"/>
              <w:right w:val="nil"/>
            </w:tcBorders>
            <w:shd w:val="clear" w:color="000000" w:fill="FFFFFF"/>
            <w:noWrap/>
            <w:vAlign w:val="bottom"/>
            <w:hideMark/>
          </w:tcPr>
          <w:p w14:paraId="34A62308"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649AB50F"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1E20E169"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6E742E44"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7A1FDE96"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33AB124F"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r>
      <w:tr w:rsidR="00C25373" w:rsidRPr="00C25373" w14:paraId="46C0861C" w14:textId="77777777">
        <w:trPr>
          <w:trHeight w:val="282"/>
        </w:trPr>
        <w:tc>
          <w:tcPr>
            <w:tcW w:w="2726" w:type="pct"/>
            <w:tcBorders>
              <w:top w:val="nil"/>
              <w:left w:val="nil"/>
              <w:bottom w:val="nil"/>
              <w:right w:val="nil"/>
            </w:tcBorders>
            <w:shd w:val="clear" w:color="000000" w:fill="FFFFFF"/>
            <w:noWrap/>
            <w:vAlign w:val="bottom"/>
            <w:hideMark/>
          </w:tcPr>
          <w:p w14:paraId="6856177E" w14:textId="77777777" w:rsidR="00C25373" w:rsidRPr="006A2D2B" w:rsidRDefault="00C25373" w:rsidP="006A2D2B">
            <w:pPr>
              <w:spacing w:before="100" w:beforeAutospacing="1" w:after="100" w:afterAutospacing="1" w:line="240" w:lineRule="auto"/>
              <w:rPr>
                <w:rFonts w:ascii="Segoe UI" w:eastAsia="Times New Roman" w:hAnsi="Segoe UI" w:cs="Segoe UI"/>
                <w:b/>
                <w:bCs/>
                <w:color w:val="000000"/>
                <w:sz w:val="18"/>
                <w:szCs w:val="18"/>
              </w:rPr>
            </w:pPr>
            <w:r>
              <w:rPr>
                <w:rFonts w:ascii="Segoe UI" w:hAnsi="Segoe UI"/>
                <w:b/>
                <w:bCs/>
                <w:color w:val="000000"/>
                <w:sz w:val="18"/>
              </w:rPr>
              <w:t>Indicatori di soli</w:t>
            </w:r>
            <w:r>
              <w:rPr>
                <w:rFonts w:ascii="Segoe UI" w:hAnsi="Segoe UI"/>
                <w:b/>
                <w:color w:val="000000"/>
                <w:sz w:val="18"/>
              </w:rPr>
              <w:t>dità finanziaria</w:t>
            </w:r>
            <w:r>
              <w:rPr>
                <w:rFonts w:ascii="Segoe UI" w:hAnsi="Segoe UI"/>
                <w:color w:val="000000"/>
                <w:sz w:val="18"/>
              </w:rPr>
              <w:t xml:space="preserve"> (percentuale)</w:t>
            </w:r>
          </w:p>
        </w:tc>
        <w:tc>
          <w:tcPr>
            <w:tcW w:w="428" w:type="pct"/>
            <w:tcBorders>
              <w:top w:val="nil"/>
              <w:left w:val="nil"/>
              <w:bottom w:val="nil"/>
              <w:right w:val="nil"/>
            </w:tcBorders>
            <w:shd w:val="clear" w:color="000000" w:fill="FFFFFF"/>
            <w:noWrap/>
            <w:vAlign w:val="bottom"/>
            <w:hideMark/>
          </w:tcPr>
          <w:p w14:paraId="49D03209"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531C675F"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03B69B21"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0F69FEE2"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7063D8EC"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c>
          <w:tcPr>
            <w:tcW w:w="369" w:type="pct"/>
            <w:tcBorders>
              <w:top w:val="nil"/>
              <w:left w:val="nil"/>
              <w:bottom w:val="nil"/>
              <w:right w:val="nil"/>
            </w:tcBorders>
            <w:shd w:val="clear" w:color="000000" w:fill="FFFFFF"/>
            <w:noWrap/>
            <w:vAlign w:val="bottom"/>
            <w:hideMark/>
          </w:tcPr>
          <w:p w14:paraId="4185D81C"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w:t>
            </w:r>
          </w:p>
        </w:tc>
      </w:tr>
      <w:tr w:rsidR="00C25373" w:rsidRPr="00C25373" w14:paraId="4C00C4ED" w14:textId="77777777">
        <w:trPr>
          <w:trHeight w:val="255"/>
        </w:trPr>
        <w:tc>
          <w:tcPr>
            <w:tcW w:w="2726" w:type="pct"/>
            <w:tcBorders>
              <w:top w:val="nil"/>
              <w:left w:val="nil"/>
              <w:bottom w:val="nil"/>
              <w:right w:val="nil"/>
            </w:tcBorders>
            <w:shd w:val="clear" w:color="000000" w:fill="FFFFFF"/>
            <w:noWrap/>
            <w:vAlign w:val="bottom"/>
            <w:hideMark/>
          </w:tcPr>
          <w:p w14:paraId="62E5B524"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Patrimonio di vigilanza rispetto alle attività ponderate al rischio</w:t>
            </w:r>
          </w:p>
        </w:tc>
        <w:tc>
          <w:tcPr>
            <w:tcW w:w="428" w:type="pct"/>
            <w:tcBorders>
              <w:top w:val="nil"/>
              <w:left w:val="nil"/>
              <w:bottom w:val="nil"/>
              <w:right w:val="nil"/>
            </w:tcBorders>
            <w:shd w:val="clear" w:color="000000" w:fill="FFFFFF"/>
            <w:noWrap/>
            <w:vAlign w:val="bottom"/>
            <w:hideMark/>
          </w:tcPr>
          <w:p w14:paraId="2162FF2C"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10,7</w:t>
            </w:r>
          </w:p>
        </w:tc>
        <w:tc>
          <w:tcPr>
            <w:tcW w:w="369" w:type="pct"/>
            <w:tcBorders>
              <w:top w:val="nil"/>
              <w:left w:val="nil"/>
              <w:bottom w:val="nil"/>
              <w:right w:val="nil"/>
            </w:tcBorders>
            <w:shd w:val="clear" w:color="000000" w:fill="FFFFFF"/>
            <w:noWrap/>
            <w:vAlign w:val="bottom"/>
            <w:hideMark/>
          </w:tcPr>
          <w:p w14:paraId="6DE3ED55"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14,4</w:t>
            </w:r>
          </w:p>
        </w:tc>
        <w:tc>
          <w:tcPr>
            <w:tcW w:w="369" w:type="pct"/>
            <w:tcBorders>
              <w:top w:val="nil"/>
              <w:left w:val="nil"/>
              <w:bottom w:val="nil"/>
              <w:right w:val="nil"/>
            </w:tcBorders>
            <w:shd w:val="clear" w:color="000000" w:fill="FFFFFF"/>
            <w:noWrap/>
            <w:vAlign w:val="bottom"/>
            <w:hideMark/>
          </w:tcPr>
          <w:p w14:paraId="5C14D87A"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14,6</w:t>
            </w:r>
          </w:p>
        </w:tc>
        <w:tc>
          <w:tcPr>
            <w:tcW w:w="369" w:type="pct"/>
            <w:tcBorders>
              <w:top w:val="nil"/>
              <w:left w:val="nil"/>
              <w:bottom w:val="nil"/>
              <w:right w:val="nil"/>
            </w:tcBorders>
            <w:shd w:val="clear" w:color="000000" w:fill="FFFFFF"/>
            <w:noWrap/>
            <w:vAlign w:val="bottom"/>
            <w:hideMark/>
          </w:tcPr>
          <w:p w14:paraId="26C1B13D"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6FB940BB"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30F54264"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r>
      <w:tr w:rsidR="00C25373" w:rsidRPr="00C25373" w14:paraId="37B651CB" w14:textId="77777777">
        <w:trPr>
          <w:trHeight w:val="255"/>
        </w:trPr>
        <w:tc>
          <w:tcPr>
            <w:tcW w:w="2726" w:type="pct"/>
            <w:tcBorders>
              <w:top w:val="nil"/>
              <w:left w:val="nil"/>
              <w:bottom w:val="nil"/>
              <w:right w:val="nil"/>
            </w:tcBorders>
            <w:shd w:val="clear" w:color="000000" w:fill="FFFFFF"/>
            <w:noWrap/>
            <w:vAlign w:val="bottom"/>
            <w:hideMark/>
          </w:tcPr>
          <w:p w14:paraId="548FA6B1"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w:t>
            </w:r>
            <w:proofErr w:type="spellStart"/>
            <w:r>
              <w:rPr>
                <w:rFonts w:ascii="Segoe UI" w:hAnsi="Segoe UI"/>
                <w:color w:val="000000"/>
                <w:sz w:val="18"/>
              </w:rPr>
              <w:t>Coef</w:t>
            </w:r>
            <w:proofErr w:type="spellEnd"/>
            <w:r>
              <w:rPr>
                <w:rFonts w:ascii="Segoe UI" w:hAnsi="Segoe UI"/>
                <w:color w:val="000000"/>
                <w:sz w:val="18"/>
              </w:rPr>
              <w:t xml:space="preserve">. NPL </w:t>
            </w:r>
          </w:p>
        </w:tc>
        <w:tc>
          <w:tcPr>
            <w:tcW w:w="428" w:type="pct"/>
            <w:tcBorders>
              <w:top w:val="nil"/>
              <w:left w:val="nil"/>
              <w:bottom w:val="nil"/>
              <w:right w:val="nil"/>
            </w:tcBorders>
            <w:shd w:val="clear" w:color="000000" w:fill="FFFFFF"/>
            <w:noWrap/>
            <w:vAlign w:val="bottom"/>
            <w:hideMark/>
          </w:tcPr>
          <w:p w14:paraId="25FAB20A"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61,1</w:t>
            </w:r>
          </w:p>
        </w:tc>
        <w:tc>
          <w:tcPr>
            <w:tcW w:w="369" w:type="pct"/>
            <w:tcBorders>
              <w:top w:val="nil"/>
              <w:left w:val="nil"/>
              <w:bottom w:val="nil"/>
              <w:right w:val="nil"/>
            </w:tcBorders>
            <w:shd w:val="clear" w:color="000000" w:fill="FFFFFF"/>
            <w:noWrap/>
            <w:vAlign w:val="bottom"/>
            <w:hideMark/>
          </w:tcPr>
          <w:p w14:paraId="1D8CE607"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59,0</w:t>
            </w:r>
          </w:p>
        </w:tc>
        <w:tc>
          <w:tcPr>
            <w:tcW w:w="369" w:type="pct"/>
            <w:tcBorders>
              <w:top w:val="nil"/>
              <w:left w:val="nil"/>
              <w:bottom w:val="nil"/>
              <w:right w:val="nil"/>
            </w:tcBorders>
            <w:shd w:val="clear" w:color="000000" w:fill="FFFFFF"/>
            <w:noWrap/>
            <w:vAlign w:val="bottom"/>
            <w:hideMark/>
          </w:tcPr>
          <w:p w14:paraId="41615D74" w14:textId="2EE8A188" w:rsidR="00C25373" w:rsidRPr="006A2D2B" w:rsidRDefault="00B259D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56</w:t>
            </w:r>
            <w:r w:rsidR="00C25373">
              <w:rPr>
                <w:rFonts w:ascii="Segoe UI" w:hAnsi="Segoe UI"/>
                <w:color w:val="000000"/>
                <w:sz w:val="18"/>
              </w:rPr>
              <w:t>,</w:t>
            </w:r>
            <w:r>
              <w:rPr>
                <w:rFonts w:ascii="Segoe UI" w:hAnsi="Segoe UI"/>
                <w:color w:val="000000"/>
                <w:sz w:val="18"/>
              </w:rPr>
              <w:t>2</w:t>
            </w:r>
            <w:bookmarkStart w:id="3" w:name="_GoBack"/>
            <w:bookmarkEnd w:id="3"/>
          </w:p>
        </w:tc>
        <w:tc>
          <w:tcPr>
            <w:tcW w:w="369" w:type="pct"/>
            <w:tcBorders>
              <w:top w:val="nil"/>
              <w:left w:val="nil"/>
              <w:bottom w:val="nil"/>
              <w:right w:val="nil"/>
            </w:tcBorders>
            <w:shd w:val="clear" w:color="000000" w:fill="FFFFFF"/>
            <w:noWrap/>
            <w:vAlign w:val="bottom"/>
            <w:hideMark/>
          </w:tcPr>
          <w:p w14:paraId="4F4B0CD9"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0D38B54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538F337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r>
      <w:tr w:rsidR="00C25373" w:rsidRPr="00C25373" w14:paraId="575AD109" w14:textId="77777777">
        <w:trPr>
          <w:trHeight w:val="282"/>
        </w:trPr>
        <w:tc>
          <w:tcPr>
            <w:tcW w:w="2726" w:type="pct"/>
            <w:tcBorders>
              <w:top w:val="nil"/>
              <w:left w:val="nil"/>
              <w:bottom w:val="nil"/>
              <w:right w:val="nil"/>
            </w:tcBorders>
            <w:shd w:val="clear" w:color="auto" w:fill="auto"/>
            <w:noWrap/>
            <w:vAlign w:val="bottom"/>
            <w:hideMark/>
          </w:tcPr>
          <w:p w14:paraId="686CB25C"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Coefficiente di copertura dei crediti dubbi </w:t>
            </w:r>
          </w:p>
        </w:tc>
        <w:tc>
          <w:tcPr>
            <w:tcW w:w="428" w:type="pct"/>
            <w:tcBorders>
              <w:top w:val="nil"/>
              <w:left w:val="nil"/>
              <w:bottom w:val="nil"/>
              <w:right w:val="nil"/>
            </w:tcBorders>
            <w:shd w:val="clear" w:color="000000" w:fill="FFFFFF"/>
            <w:noWrap/>
            <w:vAlign w:val="bottom"/>
            <w:hideMark/>
          </w:tcPr>
          <w:p w14:paraId="2D03568E"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64,4</w:t>
            </w:r>
          </w:p>
        </w:tc>
        <w:tc>
          <w:tcPr>
            <w:tcW w:w="369" w:type="pct"/>
            <w:tcBorders>
              <w:top w:val="nil"/>
              <w:left w:val="nil"/>
              <w:bottom w:val="nil"/>
              <w:right w:val="nil"/>
            </w:tcBorders>
            <w:shd w:val="clear" w:color="000000" w:fill="FFFFFF"/>
            <w:noWrap/>
            <w:vAlign w:val="bottom"/>
            <w:hideMark/>
          </w:tcPr>
          <w:p w14:paraId="741C44F9"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65,0</w:t>
            </w:r>
          </w:p>
        </w:tc>
        <w:tc>
          <w:tcPr>
            <w:tcW w:w="369" w:type="pct"/>
            <w:tcBorders>
              <w:top w:val="nil"/>
              <w:left w:val="nil"/>
              <w:bottom w:val="nil"/>
              <w:right w:val="nil"/>
            </w:tcBorders>
            <w:shd w:val="clear" w:color="000000" w:fill="FFFFFF"/>
            <w:noWrap/>
            <w:vAlign w:val="bottom"/>
            <w:hideMark/>
          </w:tcPr>
          <w:p w14:paraId="7B8EF7EB"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69,8</w:t>
            </w:r>
          </w:p>
        </w:tc>
        <w:tc>
          <w:tcPr>
            <w:tcW w:w="369" w:type="pct"/>
            <w:tcBorders>
              <w:top w:val="nil"/>
              <w:left w:val="nil"/>
              <w:bottom w:val="nil"/>
              <w:right w:val="nil"/>
            </w:tcBorders>
            <w:shd w:val="clear" w:color="000000" w:fill="FFFFFF"/>
            <w:noWrap/>
            <w:vAlign w:val="bottom"/>
            <w:hideMark/>
          </w:tcPr>
          <w:p w14:paraId="36C9EF21"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7BE7891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7C836230"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r>
      <w:tr w:rsidR="00C25373" w:rsidRPr="00C25373" w14:paraId="48E35125" w14:textId="77777777">
        <w:trPr>
          <w:trHeight w:val="255"/>
        </w:trPr>
        <w:tc>
          <w:tcPr>
            <w:tcW w:w="2726" w:type="pct"/>
            <w:tcBorders>
              <w:top w:val="nil"/>
              <w:left w:val="nil"/>
              <w:bottom w:val="nil"/>
              <w:right w:val="nil"/>
            </w:tcBorders>
            <w:shd w:val="clear" w:color="000000" w:fill="FFFFFF"/>
            <w:noWrap/>
            <w:vAlign w:val="bottom"/>
            <w:hideMark/>
          </w:tcPr>
          <w:p w14:paraId="52121B03"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Rendimento del capitale proprio (ROE)</w:t>
            </w:r>
          </w:p>
        </w:tc>
        <w:tc>
          <w:tcPr>
            <w:tcW w:w="428" w:type="pct"/>
            <w:tcBorders>
              <w:top w:val="nil"/>
              <w:left w:val="nil"/>
              <w:bottom w:val="nil"/>
              <w:right w:val="nil"/>
            </w:tcBorders>
            <w:shd w:val="clear" w:color="000000" w:fill="FFFFFF"/>
            <w:noWrap/>
            <w:vAlign w:val="bottom"/>
            <w:hideMark/>
          </w:tcPr>
          <w:p w14:paraId="1BA32CA4"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-7,7</w:t>
            </w:r>
          </w:p>
        </w:tc>
        <w:tc>
          <w:tcPr>
            <w:tcW w:w="369" w:type="pct"/>
            <w:tcBorders>
              <w:top w:val="nil"/>
              <w:left w:val="nil"/>
              <w:bottom w:val="nil"/>
              <w:right w:val="nil"/>
            </w:tcBorders>
            <w:shd w:val="clear" w:color="000000" w:fill="FFFFFF"/>
            <w:noWrap/>
            <w:vAlign w:val="bottom"/>
            <w:hideMark/>
          </w:tcPr>
          <w:p w14:paraId="5DF44E4B"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3,8</w:t>
            </w:r>
          </w:p>
        </w:tc>
        <w:tc>
          <w:tcPr>
            <w:tcW w:w="369" w:type="pct"/>
            <w:tcBorders>
              <w:top w:val="nil"/>
              <w:left w:val="nil"/>
              <w:bottom w:val="nil"/>
              <w:right w:val="nil"/>
            </w:tcBorders>
            <w:shd w:val="clear" w:color="000000" w:fill="FFFFFF"/>
            <w:noWrap/>
            <w:vAlign w:val="bottom"/>
            <w:hideMark/>
          </w:tcPr>
          <w:p w14:paraId="006C6E5D"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3,8</w:t>
            </w:r>
          </w:p>
        </w:tc>
        <w:tc>
          <w:tcPr>
            <w:tcW w:w="369" w:type="pct"/>
            <w:tcBorders>
              <w:top w:val="nil"/>
              <w:left w:val="nil"/>
              <w:bottom w:val="nil"/>
              <w:right w:val="nil"/>
            </w:tcBorders>
            <w:shd w:val="clear" w:color="000000" w:fill="FFFFFF"/>
            <w:noWrap/>
            <w:vAlign w:val="bottom"/>
            <w:hideMark/>
          </w:tcPr>
          <w:p w14:paraId="5AD29477"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5B96794A"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nil"/>
              <w:right w:val="nil"/>
            </w:tcBorders>
            <w:shd w:val="clear" w:color="000000" w:fill="FFFFFF"/>
            <w:noWrap/>
            <w:vAlign w:val="bottom"/>
            <w:hideMark/>
          </w:tcPr>
          <w:p w14:paraId="36B7EBF1"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r>
      <w:tr w:rsidR="00C25373" w:rsidRPr="00C25373" w14:paraId="1145A378" w14:textId="77777777">
        <w:trPr>
          <w:trHeight w:val="255"/>
        </w:trPr>
        <w:tc>
          <w:tcPr>
            <w:tcW w:w="2726" w:type="pct"/>
            <w:tcBorders>
              <w:top w:val="nil"/>
              <w:left w:val="nil"/>
              <w:right w:val="nil"/>
            </w:tcBorders>
            <w:shd w:val="clear" w:color="000000" w:fill="FFFFFF"/>
            <w:noWrap/>
            <w:vAlign w:val="bottom"/>
            <w:hideMark/>
          </w:tcPr>
          <w:p w14:paraId="53ACD50D"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Attività liquide rispetto a attività totali</w:t>
            </w:r>
          </w:p>
        </w:tc>
        <w:tc>
          <w:tcPr>
            <w:tcW w:w="428" w:type="pct"/>
            <w:tcBorders>
              <w:top w:val="nil"/>
              <w:left w:val="nil"/>
              <w:right w:val="nil"/>
            </w:tcBorders>
            <w:shd w:val="clear" w:color="000000" w:fill="FFFFFF"/>
            <w:noWrap/>
            <w:vAlign w:val="bottom"/>
            <w:hideMark/>
          </w:tcPr>
          <w:p w14:paraId="2876410B"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19,2</w:t>
            </w:r>
          </w:p>
        </w:tc>
        <w:tc>
          <w:tcPr>
            <w:tcW w:w="369" w:type="pct"/>
            <w:tcBorders>
              <w:top w:val="nil"/>
              <w:left w:val="nil"/>
              <w:right w:val="nil"/>
            </w:tcBorders>
            <w:shd w:val="clear" w:color="000000" w:fill="FFFFFF"/>
            <w:noWrap/>
            <w:vAlign w:val="bottom"/>
            <w:hideMark/>
          </w:tcPr>
          <w:p w14:paraId="5BAA1D5C"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27,3</w:t>
            </w:r>
          </w:p>
        </w:tc>
        <w:tc>
          <w:tcPr>
            <w:tcW w:w="369" w:type="pct"/>
            <w:tcBorders>
              <w:top w:val="nil"/>
              <w:left w:val="nil"/>
              <w:right w:val="nil"/>
            </w:tcBorders>
            <w:shd w:val="clear" w:color="000000" w:fill="FFFFFF"/>
            <w:noWrap/>
            <w:vAlign w:val="bottom"/>
            <w:hideMark/>
          </w:tcPr>
          <w:p w14:paraId="28352E83"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26,5</w:t>
            </w:r>
          </w:p>
        </w:tc>
        <w:tc>
          <w:tcPr>
            <w:tcW w:w="369" w:type="pct"/>
            <w:tcBorders>
              <w:top w:val="nil"/>
              <w:left w:val="nil"/>
              <w:right w:val="nil"/>
            </w:tcBorders>
            <w:shd w:val="clear" w:color="000000" w:fill="FFFFFF"/>
            <w:noWrap/>
            <w:vAlign w:val="bottom"/>
            <w:hideMark/>
          </w:tcPr>
          <w:p w14:paraId="1B461422"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right w:val="nil"/>
            </w:tcBorders>
            <w:shd w:val="clear" w:color="000000" w:fill="FFFFFF"/>
            <w:noWrap/>
            <w:vAlign w:val="bottom"/>
            <w:hideMark/>
          </w:tcPr>
          <w:p w14:paraId="6A7F2D32"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right w:val="nil"/>
            </w:tcBorders>
            <w:shd w:val="clear" w:color="000000" w:fill="FFFFFF"/>
            <w:noWrap/>
            <w:vAlign w:val="bottom"/>
            <w:hideMark/>
          </w:tcPr>
          <w:p w14:paraId="2BF5D6FE"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r>
      <w:tr w:rsidR="00C25373" w:rsidRPr="00C25373" w14:paraId="1F474F33" w14:textId="77777777">
        <w:trPr>
          <w:trHeight w:val="300"/>
        </w:trPr>
        <w:tc>
          <w:tcPr>
            <w:tcW w:w="2726" w:type="pct"/>
            <w:tcBorders>
              <w:top w:val="nil"/>
              <w:left w:val="nil"/>
              <w:bottom w:val="single" w:sz="4" w:space="0" w:color="auto"/>
              <w:right w:val="nil"/>
            </w:tcBorders>
            <w:shd w:val="clear" w:color="000000" w:fill="FFFFFF"/>
            <w:noWrap/>
            <w:vAlign w:val="bottom"/>
            <w:hideMark/>
          </w:tcPr>
          <w:p w14:paraId="379CFA3A" w14:textId="77777777" w:rsidR="00C25373" w:rsidRPr="006A2D2B" w:rsidRDefault="00C25373" w:rsidP="006A2D2B">
            <w:pPr>
              <w:spacing w:before="100" w:beforeAutospacing="1" w:after="100" w:afterAutospacing="1" w:line="240" w:lineRule="auto"/>
              <w:rPr>
                <w:rFonts w:ascii="Segoe UI" w:eastAsia="Times New Roman" w:hAnsi="Segoe UI" w:cs="Segoe UI"/>
                <w:color w:val="000000"/>
                <w:sz w:val="18"/>
                <w:szCs w:val="18"/>
              </w:rPr>
            </w:pPr>
            <w:r>
              <w:rPr>
                <w:rFonts w:ascii="Segoe UI" w:hAnsi="Segoe UI"/>
                <w:color w:val="000000"/>
                <w:sz w:val="18"/>
              </w:rPr>
              <w:t xml:space="preserve">  Liquidità rispetto alle passività a breve</w:t>
            </w:r>
          </w:p>
        </w:tc>
        <w:tc>
          <w:tcPr>
            <w:tcW w:w="428" w:type="pct"/>
            <w:tcBorders>
              <w:top w:val="nil"/>
              <w:left w:val="nil"/>
              <w:bottom w:val="single" w:sz="4" w:space="0" w:color="auto"/>
              <w:right w:val="nil"/>
            </w:tcBorders>
            <w:shd w:val="clear" w:color="000000" w:fill="FFFFFF"/>
            <w:noWrap/>
            <w:vAlign w:val="bottom"/>
            <w:hideMark/>
          </w:tcPr>
          <w:p w14:paraId="1C384F6D"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33,1</w:t>
            </w:r>
          </w:p>
        </w:tc>
        <w:tc>
          <w:tcPr>
            <w:tcW w:w="369" w:type="pct"/>
            <w:tcBorders>
              <w:top w:val="nil"/>
              <w:left w:val="nil"/>
              <w:bottom w:val="single" w:sz="4" w:space="0" w:color="auto"/>
              <w:right w:val="nil"/>
            </w:tcBorders>
            <w:shd w:val="clear" w:color="000000" w:fill="FFFFFF"/>
            <w:noWrap/>
            <w:vAlign w:val="bottom"/>
            <w:hideMark/>
          </w:tcPr>
          <w:p w14:paraId="374BBF99"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44,0</w:t>
            </w:r>
          </w:p>
        </w:tc>
        <w:tc>
          <w:tcPr>
            <w:tcW w:w="369" w:type="pct"/>
            <w:tcBorders>
              <w:top w:val="nil"/>
              <w:left w:val="nil"/>
              <w:bottom w:val="single" w:sz="4" w:space="0" w:color="auto"/>
              <w:right w:val="nil"/>
            </w:tcBorders>
            <w:shd w:val="clear" w:color="000000" w:fill="FFFFFF"/>
            <w:noWrap/>
            <w:vAlign w:val="bottom"/>
            <w:hideMark/>
          </w:tcPr>
          <w:p w14:paraId="7002107E"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43,1</w:t>
            </w:r>
          </w:p>
        </w:tc>
        <w:tc>
          <w:tcPr>
            <w:tcW w:w="369" w:type="pct"/>
            <w:tcBorders>
              <w:top w:val="nil"/>
              <w:left w:val="nil"/>
              <w:bottom w:val="single" w:sz="4" w:space="0" w:color="auto"/>
              <w:right w:val="nil"/>
            </w:tcBorders>
            <w:shd w:val="clear" w:color="000000" w:fill="FFFFFF"/>
            <w:noWrap/>
            <w:vAlign w:val="bottom"/>
            <w:hideMark/>
          </w:tcPr>
          <w:p w14:paraId="1A3FAFA8"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single" w:sz="4" w:space="0" w:color="auto"/>
              <w:right w:val="nil"/>
            </w:tcBorders>
            <w:shd w:val="clear" w:color="000000" w:fill="FFFFFF"/>
            <w:noWrap/>
            <w:vAlign w:val="bottom"/>
            <w:hideMark/>
          </w:tcPr>
          <w:p w14:paraId="18427981"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c>
          <w:tcPr>
            <w:tcW w:w="369" w:type="pct"/>
            <w:tcBorders>
              <w:top w:val="nil"/>
              <w:left w:val="nil"/>
              <w:bottom w:val="single" w:sz="4" w:space="0" w:color="auto"/>
              <w:right w:val="nil"/>
            </w:tcBorders>
            <w:shd w:val="clear" w:color="000000" w:fill="FFFFFF"/>
            <w:noWrap/>
            <w:vAlign w:val="bottom"/>
            <w:hideMark/>
          </w:tcPr>
          <w:p w14:paraId="493C098D" w14:textId="77777777" w:rsidR="00C25373" w:rsidRPr="006A2D2B" w:rsidRDefault="00C25373" w:rsidP="006A2D2B">
            <w:pPr>
              <w:spacing w:before="100" w:beforeAutospacing="1" w:after="100" w:afterAutospacing="1" w:line="240" w:lineRule="auto"/>
              <w:jc w:val="right"/>
              <w:rPr>
                <w:rFonts w:ascii="Segoe UI" w:eastAsia="Times New Roman" w:hAnsi="Segoe UI" w:cs="Segoe UI"/>
                <w:color w:val="000000"/>
                <w:sz w:val="18"/>
                <w:szCs w:val="18"/>
              </w:rPr>
            </w:pPr>
            <w:r>
              <w:rPr>
                <w:rFonts w:ascii="Segoe UI" w:hAnsi="Segoe UI"/>
                <w:color w:val="000000"/>
                <w:sz w:val="18"/>
              </w:rPr>
              <w:t>.…</w:t>
            </w:r>
          </w:p>
        </w:tc>
      </w:tr>
    </w:tbl>
    <w:p w14:paraId="0DB61D5D" w14:textId="77777777" w:rsidR="00C25373" w:rsidRDefault="00C25373" w:rsidP="006A2D2B">
      <w:pPr>
        <w:spacing w:after="0" w:line="240" w:lineRule="auto"/>
        <w:rPr>
          <w:rFonts w:ascii="Segoe UI" w:eastAsia="Times New Roman" w:hAnsi="Segoe UI" w:cs="Segoe UI"/>
          <w:color w:val="000000"/>
          <w:sz w:val="16"/>
          <w:szCs w:val="16"/>
        </w:rPr>
      </w:pPr>
      <w:r>
        <w:rPr>
          <w:rFonts w:ascii="Segoe UI" w:hAnsi="Segoe UI"/>
          <w:color w:val="000000"/>
          <w:sz w:val="16"/>
        </w:rPr>
        <w:t>Fonti: Statistiche Finanziarie Internazionali; Indicatori di solidità finanziaria del FMI; Autorità sammarinesi; Banca Mondiale; ed dello Staff del FMI.</w:t>
      </w:r>
    </w:p>
    <w:p w14:paraId="1E91375A" w14:textId="77777777" w:rsidR="00C25373" w:rsidRDefault="00C25373" w:rsidP="006A2D2B">
      <w:pPr>
        <w:spacing w:after="0" w:line="240" w:lineRule="auto"/>
        <w:rPr>
          <w:rFonts w:ascii="Segoe UI" w:eastAsia="Times New Roman" w:hAnsi="Segoe UI" w:cs="Segoe UI"/>
          <w:color w:val="000000"/>
          <w:sz w:val="16"/>
          <w:szCs w:val="16"/>
        </w:rPr>
      </w:pPr>
      <w:r>
        <w:rPr>
          <w:rFonts w:ascii="Segoe UI" w:hAnsi="Segoe UI"/>
          <w:color w:val="000000"/>
          <w:sz w:val="16"/>
        </w:rPr>
        <w:t>1/ Per l'amministrazione centrale.</w:t>
      </w:r>
    </w:p>
    <w:p w14:paraId="440544DF" w14:textId="77777777" w:rsidR="00C25373" w:rsidRDefault="00C25373" w:rsidP="006A2D2B">
      <w:pPr>
        <w:spacing w:after="0" w:line="240" w:lineRule="auto"/>
        <w:rPr>
          <w:rFonts w:ascii="Segoe UI" w:eastAsia="Times New Roman" w:hAnsi="Segoe UI" w:cs="Segoe UI"/>
          <w:color w:val="000000"/>
          <w:sz w:val="16"/>
          <w:szCs w:val="16"/>
        </w:rPr>
      </w:pPr>
      <w:r>
        <w:rPr>
          <w:rFonts w:ascii="Segoe UI" w:hAnsi="Segoe UI"/>
          <w:color w:val="000000"/>
          <w:sz w:val="16"/>
        </w:rPr>
        <w:t>2/ Debito (ufficiale) dell'amministrazione centrale più il debito del Fondo per la sicurezza sociale e della BNS.</w:t>
      </w:r>
    </w:p>
    <w:p w14:paraId="192FFC4D" w14:textId="77777777" w:rsidR="00C25373" w:rsidRDefault="00C25373" w:rsidP="006A2D2B">
      <w:pPr>
        <w:spacing w:after="0" w:line="240" w:lineRule="auto"/>
        <w:rPr>
          <w:rFonts w:ascii="Segoe UI" w:eastAsia="Times New Roman" w:hAnsi="Segoe UI" w:cs="Segoe UI"/>
          <w:color w:val="000000"/>
          <w:sz w:val="16"/>
          <w:szCs w:val="16"/>
        </w:rPr>
      </w:pPr>
      <w:r>
        <w:rPr>
          <w:rFonts w:ascii="Segoe UI" w:hAnsi="Segoe UI"/>
          <w:color w:val="000000"/>
          <w:sz w:val="16"/>
        </w:rPr>
        <w:t>3/ Stime per il 2021.</w:t>
      </w:r>
    </w:p>
    <w:p w14:paraId="4CBFF80F" w14:textId="77777777" w:rsidR="001C31F1" w:rsidRPr="00660493" w:rsidDel="00E52018" w:rsidRDefault="001C31F1" w:rsidP="00660493"/>
    <w:p w14:paraId="00CAC1D8" w14:textId="4011B47E" w:rsidR="000B0245" w:rsidRPr="000B0245" w:rsidRDefault="000B0245" w:rsidP="00187179">
      <w:pPr>
        <w:pStyle w:val="NormaleWeb"/>
        <w:shd w:val="clear" w:color="auto" w:fill="FFFFFF"/>
        <w:spacing w:before="240" w:beforeAutospacing="0" w:after="240" w:afterAutospacing="0"/>
      </w:pPr>
      <w:r>
        <w:rPr>
          <w:rStyle w:val="Enfasicorsivo"/>
          <w:rFonts w:ascii="Helvetica" w:hAnsi="Helvetica"/>
          <w:color w:val="2C2825"/>
          <w:sz w:val="21"/>
        </w:rPr>
        <w:t>La Missione desidera ringraziare le autorità e gli altri interlocutori per la calorosa accoglienza e per gli incontri franchi e produttivi.</w:t>
      </w:r>
    </w:p>
    <w:sectPr w:rsidR="000B0245" w:rsidRPr="000B0245" w:rsidSect="0060638B">
      <w:headerReference w:type="even" r:id="rId12"/>
      <w:headerReference w:type="default" r:id="rId13"/>
      <w:footerReference w:type="default" r:id="rId14"/>
      <w:headerReference w:type="first" r:id="rId15"/>
      <w:footerReference w:type="first" r:id="rId16"/>
      <w:pgSz w:w="12240" w:h="15840"/>
      <w:pgMar w:top="1440" w:right="1944" w:bottom="1440" w:left="194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25E51" w14:textId="77777777" w:rsidR="00F31D3F" w:rsidRDefault="00F31D3F">
      <w:r>
        <w:separator/>
      </w:r>
    </w:p>
  </w:endnote>
  <w:endnote w:type="continuationSeparator" w:id="0">
    <w:p w14:paraId="1EA2E0DD" w14:textId="77777777" w:rsidR="00F31D3F" w:rsidRDefault="00F31D3F">
      <w:r>
        <w:continuationSeparator/>
      </w:r>
    </w:p>
  </w:endnote>
  <w:endnote w:type="continuationNotice" w:id="1">
    <w:p w14:paraId="3558F48A" w14:textId="77777777" w:rsidR="00F31D3F" w:rsidRDefault="00F31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4F92" w14:textId="77777777" w:rsidR="00C80817" w:rsidRDefault="00C80817">
    <w:pPr>
      <w:pStyle w:val="Pidipagina"/>
    </w:pPr>
    <w:r>
      <w:rPr>
        <w:noProof/>
        <w:lang w:eastAsia="it-IT"/>
      </w:rPr>
      <w:drawing>
        <wp:anchor distT="0" distB="0" distL="114300" distR="114300" simplePos="0" relativeHeight="251658242" behindDoc="1" locked="0" layoutInCell="1" allowOverlap="1" wp14:anchorId="7109ED71" wp14:editId="24E6FA8B">
          <wp:simplePos x="0" y="0"/>
          <wp:positionH relativeFrom="page">
            <wp:posOffset>2540</wp:posOffset>
          </wp:positionH>
          <wp:positionV relativeFrom="paragraph">
            <wp:posOffset>882650</wp:posOffset>
          </wp:positionV>
          <wp:extent cx="7772400" cy="122529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2529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D34A" w14:textId="77777777" w:rsidR="00C80817" w:rsidRDefault="00C80817" w:rsidP="004B55E3">
    <w:pPr>
      <w:pStyle w:val="Pidipagina"/>
      <w:tabs>
        <w:tab w:val="clear" w:pos="4320"/>
        <w:tab w:val="clear" w:pos="8640"/>
      </w:tabs>
      <w:ind w:left="-1800"/>
    </w:pPr>
    <w:r>
      <w:rPr>
        <w:noProof/>
        <w:lang w:eastAsia="it-IT"/>
      </w:rPr>
      <w:drawing>
        <wp:anchor distT="0" distB="0" distL="114300" distR="114300" simplePos="0" relativeHeight="251658240" behindDoc="1" locked="0" layoutInCell="1" allowOverlap="1" wp14:anchorId="0B28D7C4" wp14:editId="38EA3E50">
          <wp:simplePos x="0" y="0"/>
          <wp:positionH relativeFrom="page">
            <wp:align>right</wp:align>
          </wp:positionH>
          <wp:positionV relativeFrom="paragraph">
            <wp:posOffset>-184150</wp:posOffset>
          </wp:positionV>
          <wp:extent cx="7772400" cy="914253"/>
          <wp:effectExtent l="0" t="0" r="0" b="0"/>
          <wp:wrapNone/>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_Footer.png"/>
                  <pic:cNvPicPr/>
                </pic:nvPicPr>
                <pic:blipFill rotWithShape="1">
                  <a:blip r:embed="rId1">
                    <a:extLst>
                      <a:ext uri="{28A0092B-C50C-407E-A947-70E740481C1C}">
                        <a14:useLocalDpi xmlns:a14="http://schemas.microsoft.com/office/drawing/2010/main" val="0"/>
                      </a:ext>
                    </a:extLst>
                  </a:blip>
                  <a:srcRect l="-594" t="-587" r="-594" b="-587"/>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A3973" w14:textId="77777777" w:rsidR="00F31D3F" w:rsidRDefault="00F31D3F">
      <w:r>
        <w:separator/>
      </w:r>
    </w:p>
  </w:footnote>
  <w:footnote w:type="continuationSeparator" w:id="0">
    <w:p w14:paraId="0628E1FF" w14:textId="77777777" w:rsidR="00F31D3F" w:rsidRDefault="00F31D3F">
      <w:r>
        <w:continuationSeparator/>
      </w:r>
    </w:p>
  </w:footnote>
  <w:footnote w:type="continuationNotice" w:id="1">
    <w:p w14:paraId="6E035AE5" w14:textId="77777777" w:rsidR="00F31D3F" w:rsidRDefault="00F31D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577E" w14:textId="77777777" w:rsidR="00C80817" w:rsidRDefault="00C80817" w:rsidP="00173A9F">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w:t>
    </w:r>
    <w:r>
      <w:rPr>
        <w:rStyle w:val="Numeropagina"/>
      </w:rPr>
      <w:fldChar w:fldCharType="end"/>
    </w:r>
  </w:p>
  <w:p w14:paraId="228C3FD6" w14:textId="77777777" w:rsidR="00C80817" w:rsidRDefault="00C8081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B862" w14:textId="77777777" w:rsidR="00C80817" w:rsidRPr="00415F22" w:rsidRDefault="00C80817" w:rsidP="00415F22">
    <w:pPr>
      <w:pStyle w:val="Intestazione"/>
      <w:tabs>
        <w:tab w:val="clear" w:pos="4320"/>
        <w:tab w:val="center" w:pos="4680"/>
      </w:tabs>
      <w:jc w:val="center"/>
      <w:rPr>
        <w:szCs w:val="20"/>
      </w:rPr>
    </w:pPr>
    <w:r>
      <w:rPr>
        <w:rStyle w:val="Numeropagina"/>
      </w:rPr>
      <w:fldChar w:fldCharType="begin"/>
    </w:r>
    <w:r>
      <w:rPr>
        <w:rStyle w:val="Numeropagina"/>
      </w:rPr>
      <w:instrText xml:space="preserve"> PAGE </w:instrText>
    </w:r>
    <w:r>
      <w:rPr>
        <w:rStyle w:val="Numeropagina"/>
      </w:rPr>
      <w:fldChar w:fldCharType="separate"/>
    </w:r>
    <w:r w:rsidR="00B259D3">
      <w:rPr>
        <w:rStyle w:val="Numeropagina"/>
        <w:noProof/>
      </w:rPr>
      <w:t>5</w:t>
    </w:r>
    <w:r>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2ED4" w14:textId="77777777" w:rsidR="00C80817" w:rsidRDefault="00C80817" w:rsidP="00B04EF2">
    <w:pPr>
      <w:pStyle w:val="Intestazione"/>
      <w:tabs>
        <w:tab w:val="clear" w:pos="4320"/>
        <w:tab w:val="clear" w:pos="8640"/>
      </w:tabs>
      <w:ind w:left="-1710"/>
    </w:pPr>
    <w:r>
      <w:rPr>
        <w:noProof/>
        <w:lang w:eastAsia="it-IT"/>
      </w:rPr>
      <w:drawing>
        <wp:anchor distT="0" distB="0" distL="114300" distR="114300" simplePos="0" relativeHeight="251658241" behindDoc="1" locked="0" layoutInCell="1" allowOverlap="1" wp14:anchorId="4C266EF4" wp14:editId="797B52EA">
          <wp:simplePos x="0" y="0"/>
          <wp:positionH relativeFrom="page">
            <wp:align>right</wp:align>
          </wp:positionH>
          <wp:positionV relativeFrom="paragraph">
            <wp:posOffset>-419100</wp:posOffset>
          </wp:positionV>
          <wp:extent cx="7772400" cy="1225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252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13A08" w14:textId="77777777" w:rsidR="00C80817" w:rsidRDefault="00C80817" w:rsidP="00103F4A">
    <w:pPr>
      <w:pStyle w:val="Intestazione"/>
      <w:tabs>
        <w:tab w:val="clear" w:pos="4320"/>
        <w:tab w:val="clear" w:pos="8640"/>
      </w:tabs>
      <w:spacing w:after="0" w:line="240" w:lineRule="auto"/>
      <w:ind w:left="-1714" w:right="-1195"/>
      <w:jc w:val="right"/>
      <w:rPr>
        <w:color w:val="004C97" w:themeColor="text2"/>
        <w:sz w:val="24"/>
      </w:rPr>
    </w:pPr>
  </w:p>
  <w:p w14:paraId="0B0C1588" w14:textId="77777777" w:rsidR="00C80817" w:rsidRPr="00264E22" w:rsidRDefault="00C80817" w:rsidP="0060638B">
    <w:pPr>
      <w:pStyle w:val="webnumb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F9E495C"/>
    <w:lvl w:ilvl="0">
      <w:start w:val="1"/>
      <w:numFmt w:val="bullet"/>
      <w:pStyle w:val="Puntoelenco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Puntoelenco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Puntoelenco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Puntoelenco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Numeroelenco"/>
      <w:lvlText w:val="%1."/>
      <w:lvlJc w:val="left"/>
      <w:pPr>
        <w:tabs>
          <w:tab w:val="num" w:pos="360"/>
        </w:tabs>
        <w:ind w:left="360" w:hanging="360"/>
      </w:pPr>
    </w:lvl>
  </w:abstractNum>
  <w:abstractNum w:abstractNumId="5" w15:restartNumberingAfterBreak="0">
    <w:nsid w:val="FFFFFF89"/>
    <w:multiLevelType w:val="singleLevel"/>
    <w:tmpl w:val="E91A0B8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3463E0"/>
    <w:multiLevelType w:val="hybridMultilevel"/>
    <w:tmpl w:val="63F2C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C4061"/>
    <w:multiLevelType w:val="multilevel"/>
    <w:tmpl w:val="EAD2248A"/>
    <w:lvl w:ilvl="0">
      <w:start w:val="1"/>
      <w:numFmt w:val="bullet"/>
      <w:pStyle w:val="Paragrafoelenco"/>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9" w15:restartNumberingAfterBreak="0">
    <w:nsid w:val="508C42FD"/>
    <w:multiLevelType w:val="multilevel"/>
    <w:tmpl w:val="84788A78"/>
    <w:lvl w:ilvl="0">
      <w:start w:val="1"/>
      <w:numFmt w:val="bullet"/>
      <w:pStyle w:val="Puntoelenco"/>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0EA15A1"/>
    <w:multiLevelType w:val="multilevel"/>
    <w:tmpl w:val="FAA42BFC"/>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5"/>
  </w:num>
  <w:num w:numId="2">
    <w:abstractNumId w:val="10"/>
  </w:num>
  <w:num w:numId="3">
    <w:abstractNumId w:val="10"/>
  </w:num>
  <w:num w:numId="4">
    <w:abstractNumId w:val="6"/>
  </w:num>
  <w:num w:numId="5">
    <w:abstractNumId w:val="10"/>
  </w:num>
  <w:num w:numId="6">
    <w:abstractNumId w:val="10"/>
  </w:num>
  <w:num w:numId="7">
    <w:abstractNumId w:val="6"/>
  </w:num>
  <w:num w:numId="8">
    <w:abstractNumId w:val="6"/>
  </w:num>
  <w:num w:numId="9">
    <w:abstractNumId w:val="9"/>
  </w:num>
  <w:num w:numId="10">
    <w:abstractNumId w:val="3"/>
  </w:num>
  <w:num w:numId="11">
    <w:abstractNumId w:val="3"/>
  </w:num>
  <w:num w:numId="12">
    <w:abstractNumId w:val="2"/>
  </w:num>
  <w:num w:numId="13">
    <w:abstractNumId w:val="2"/>
  </w:num>
  <w:num w:numId="14">
    <w:abstractNumId w:val="1"/>
  </w:num>
  <w:num w:numId="15">
    <w:abstractNumId w:val="1"/>
  </w:num>
  <w:num w:numId="16">
    <w:abstractNumId w:val="0"/>
  </w:num>
  <w:num w:numId="17">
    <w:abstractNumId w:val="0"/>
  </w:num>
  <w:num w:numId="18">
    <w:abstractNumId w:val="4"/>
  </w:num>
  <w:num w:numId="19">
    <w:abstractNumId w:val="4"/>
  </w:num>
  <w:num w:numId="20">
    <w:abstractNumId w:val="8"/>
  </w:num>
  <w:num w:numId="21">
    <w:abstractNumId w:val="6"/>
  </w:num>
  <w:num w:numId="22">
    <w:abstractNumId w:val="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93"/>
    <w:rsid w:val="00001EB2"/>
    <w:rsid w:val="000037DB"/>
    <w:rsid w:val="00003B11"/>
    <w:rsid w:val="000119F3"/>
    <w:rsid w:val="00013EF5"/>
    <w:rsid w:val="0001499C"/>
    <w:rsid w:val="000177DD"/>
    <w:rsid w:val="000178FB"/>
    <w:rsid w:val="00017F03"/>
    <w:rsid w:val="000210BE"/>
    <w:rsid w:val="000303D2"/>
    <w:rsid w:val="00031710"/>
    <w:rsid w:val="00032547"/>
    <w:rsid w:val="00032C5F"/>
    <w:rsid w:val="00043026"/>
    <w:rsid w:val="000465C0"/>
    <w:rsid w:val="00046F61"/>
    <w:rsid w:val="0005225F"/>
    <w:rsid w:val="00052E03"/>
    <w:rsid w:val="00054D38"/>
    <w:rsid w:val="00054D85"/>
    <w:rsid w:val="000559A6"/>
    <w:rsid w:val="00060291"/>
    <w:rsid w:val="00071C86"/>
    <w:rsid w:val="00071E10"/>
    <w:rsid w:val="000721EF"/>
    <w:rsid w:val="00072B24"/>
    <w:rsid w:val="000827DC"/>
    <w:rsid w:val="00084BDB"/>
    <w:rsid w:val="000901F1"/>
    <w:rsid w:val="0009379D"/>
    <w:rsid w:val="000A1B15"/>
    <w:rsid w:val="000A2DFA"/>
    <w:rsid w:val="000A619F"/>
    <w:rsid w:val="000B0245"/>
    <w:rsid w:val="000B0BC6"/>
    <w:rsid w:val="000B2428"/>
    <w:rsid w:val="000B2C4C"/>
    <w:rsid w:val="000B2DA2"/>
    <w:rsid w:val="000B4FE7"/>
    <w:rsid w:val="000B5464"/>
    <w:rsid w:val="000C1231"/>
    <w:rsid w:val="000C4663"/>
    <w:rsid w:val="000D0A8A"/>
    <w:rsid w:val="000D0CC6"/>
    <w:rsid w:val="000D1B68"/>
    <w:rsid w:val="000E20E8"/>
    <w:rsid w:val="000E324E"/>
    <w:rsid w:val="000E4859"/>
    <w:rsid w:val="000E64FF"/>
    <w:rsid w:val="000E71B7"/>
    <w:rsid w:val="000F3A66"/>
    <w:rsid w:val="000F5A4B"/>
    <w:rsid w:val="000F71B4"/>
    <w:rsid w:val="000F7E64"/>
    <w:rsid w:val="001012BD"/>
    <w:rsid w:val="00101A12"/>
    <w:rsid w:val="001032EE"/>
    <w:rsid w:val="00103F4A"/>
    <w:rsid w:val="00110F3D"/>
    <w:rsid w:val="001175AC"/>
    <w:rsid w:val="00117632"/>
    <w:rsid w:val="00117F40"/>
    <w:rsid w:val="001202AE"/>
    <w:rsid w:val="001239A8"/>
    <w:rsid w:val="00123D54"/>
    <w:rsid w:val="001254C9"/>
    <w:rsid w:val="0012618D"/>
    <w:rsid w:val="0013020D"/>
    <w:rsid w:val="001304F6"/>
    <w:rsid w:val="0013307D"/>
    <w:rsid w:val="001330D8"/>
    <w:rsid w:val="001332FC"/>
    <w:rsid w:val="001339B6"/>
    <w:rsid w:val="0014077A"/>
    <w:rsid w:val="00140833"/>
    <w:rsid w:val="00142C3A"/>
    <w:rsid w:val="00144F5F"/>
    <w:rsid w:val="00155DCE"/>
    <w:rsid w:val="0015613E"/>
    <w:rsid w:val="0015662C"/>
    <w:rsid w:val="0016016E"/>
    <w:rsid w:val="00161850"/>
    <w:rsid w:val="00167250"/>
    <w:rsid w:val="00173A9F"/>
    <w:rsid w:val="00175A1F"/>
    <w:rsid w:val="00177DFB"/>
    <w:rsid w:val="0018073D"/>
    <w:rsid w:val="00182D5B"/>
    <w:rsid w:val="00187179"/>
    <w:rsid w:val="001908D1"/>
    <w:rsid w:val="00192702"/>
    <w:rsid w:val="00192CC9"/>
    <w:rsid w:val="0019312B"/>
    <w:rsid w:val="00195537"/>
    <w:rsid w:val="00195B72"/>
    <w:rsid w:val="00196D93"/>
    <w:rsid w:val="00197FD7"/>
    <w:rsid w:val="001A2BDE"/>
    <w:rsid w:val="001A2EFC"/>
    <w:rsid w:val="001A3EBD"/>
    <w:rsid w:val="001B26F9"/>
    <w:rsid w:val="001B47C4"/>
    <w:rsid w:val="001B5479"/>
    <w:rsid w:val="001C31F1"/>
    <w:rsid w:val="001C3B00"/>
    <w:rsid w:val="001D1411"/>
    <w:rsid w:val="001D4E94"/>
    <w:rsid w:val="001D545F"/>
    <w:rsid w:val="001E003F"/>
    <w:rsid w:val="001E0696"/>
    <w:rsid w:val="001E620E"/>
    <w:rsid w:val="001E6D59"/>
    <w:rsid w:val="001E7A7B"/>
    <w:rsid w:val="001E7CE4"/>
    <w:rsid w:val="001F48A1"/>
    <w:rsid w:val="001F7A58"/>
    <w:rsid w:val="0020221F"/>
    <w:rsid w:val="00203C1C"/>
    <w:rsid w:val="00207D18"/>
    <w:rsid w:val="0021127C"/>
    <w:rsid w:val="00211AD5"/>
    <w:rsid w:val="00211B75"/>
    <w:rsid w:val="00212B8E"/>
    <w:rsid w:val="0021455D"/>
    <w:rsid w:val="002148F9"/>
    <w:rsid w:val="00217D9B"/>
    <w:rsid w:val="00220502"/>
    <w:rsid w:val="002265E7"/>
    <w:rsid w:val="002334E5"/>
    <w:rsid w:val="00233A85"/>
    <w:rsid w:val="00233FE8"/>
    <w:rsid w:val="002348AE"/>
    <w:rsid w:val="00236E96"/>
    <w:rsid w:val="0024019F"/>
    <w:rsid w:val="00240222"/>
    <w:rsid w:val="00240826"/>
    <w:rsid w:val="00241279"/>
    <w:rsid w:val="00244FF4"/>
    <w:rsid w:val="002450D2"/>
    <w:rsid w:val="00250E38"/>
    <w:rsid w:val="00252D9B"/>
    <w:rsid w:val="00255AC1"/>
    <w:rsid w:val="002579C5"/>
    <w:rsid w:val="002601F6"/>
    <w:rsid w:val="00261B4A"/>
    <w:rsid w:val="00262BBC"/>
    <w:rsid w:val="00264E22"/>
    <w:rsid w:val="0026650C"/>
    <w:rsid w:val="00271357"/>
    <w:rsid w:val="00272DD0"/>
    <w:rsid w:val="00280C66"/>
    <w:rsid w:val="00281243"/>
    <w:rsid w:val="0028428A"/>
    <w:rsid w:val="002845F0"/>
    <w:rsid w:val="0029093E"/>
    <w:rsid w:val="00292CCD"/>
    <w:rsid w:val="00293981"/>
    <w:rsid w:val="0029529E"/>
    <w:rsid w:val="00295CF2"/>
    <w:rsid w:val="0029647F"/>
    <w:rsid w:val="00297E75"/>
    <w:rsid w:val="002A04BA"/>
    <w:rsid w:val="002A1A3B"/>
    <w:rsid w:val="002A1C25"/>
    <w:rsid w:val="002A3622"/>
    <w:rsid w:val="002A44F6"/>
    <w:rsid w:val="002A7181"/>
    <w:rsid w:val="002B1058"/>
    <w:rsid w:val="002B2A06"/>
    <w:rsid w:val="002B3727"/>
    <w:rsid w:val="002B55C9"/>
    <w:rsid w:val="002C1D81"/>
    <w:rsid w:val="002C295E"/>
    <w:rsid w:val="002C6525"/>
    <w:rsid w:val="002D1E0E"/>
    <w:rsid w:val="002D3BC7"/>
    <w:rsid w:val="002D795B"/>
    <w:rsid w:val="002E34B3"/>
    <w:rsid w:val="002E3796"/>
    <w:rsid w:val="002E3A27"/>
    <w:rsid w:val="002E3FE2"/>
    <w:rsid w:val="002E504B"/>
    <w:rsid w:val="002E6A38"/>
    <w:rsid w:val="002F09E5"/>
    <w:rsid w:val="002F0A84"/>
    <w:rsid w:val="002F0EC8"/>
    <w:rsid w:val="002F2310"/>
    <w:rsid w:val="002F26E5"/>
    <w:rsid w:val="002F3E4E"/>
    <w:rsid w:val="002F5AF6"/>
    <w:rsid w:val="002F6BDF"/>
    <w:rsid w:val="002F7CE8"/>
    <w:rsid w:val="00300F1C"/>
    <w:rsid w:val="003054D7"/>
    <w:rsid w:val="00306F7E"/>
    <w:rsid w:val="0031176D"/>
    <w:rsid w:val="00312A9A"/>
    <w:rsid w:val="00313921"/>
    <w:rsid w:val="0031457D"/>
    <w:rsid w:val="00315008"/>
    <w:rsid w:val="00315376"/>
    <w:rsid w:val="00321D46"/>
    <w:rsid w:val="00322667"/>
    <w:rsid w:val="00325C73"/>
    <w:rsid w:val="00331969"/>
    <w:rsid w:val="00331D7B"/>
    <w:rsid w:val="00336085"/>
    <w:rsid w:val="00341182"/>
    <w:rsid w:val="003412C0"/>
    <w:rsid w:val="00342205"/>
    <w:rsid w:val="00343C43"/>
    <w:rsid w:val="00344019"/>
    <w:rsid w:val="00346AE1"/>
    <w:rsid w:val="00350B77"/>
    <w:rsid w:val="00352E94"/>
    <w:rsid w:val="0035493F"/>
    <w:rsid w:val="0035530D"/>
    <w:rsid w:val="00362134"/>
    <w:rsid w:val="00364F57"/>
    <w:rsid w:val="00371DFE"/>
    <w:rsid w:val="00373B21"/>
    <w:rsid w:val="00373DC6"/>
    <w:rsid w:val="00383EBD"/>
    <w:rsid w:val="003847DD"/>
    <w:rsid w:val="00386FE5"/>
    <w:rsid w:val="00387910"/>
    <w:rsid w:val="00391739"/>
    <w:rsid w:val="00391925"/>
    <w:rsid w:val="00391A0B"/>
    <w:rsid w:val="00392506"/>
    <w:rsid w:val="0039474A"/>
    <w:rsid w:val="00394BE7"/>
    <w:rsid w:val="003A20FE"/>
    <w:rsid w:val="003A40F3"/>
    <w:rsid w:val="003A7EDD"/>
    <w:rsid w:val="003B5534"/>
    <w:rsid w:val="003B56A6"/>
    <w:rsid w:val="003C1F05"/>
    <w:rsid w:val="003C1F25"/>
    <w:rsid w:val="003C285B"/>
    <w:rsid w:val="003C736D"/>
    <w:rsid w:val="003C7D22"/>
    <w:rsid w:val="003D55B9"/>
    <w:rsid w:val="003E042D"/>
    <w:rsid w:val="003E0D58"/>
    <w:rsid w:val="003E188F"/>
    <w:rsid w:val="003E1C1D"/>
    <w:rsid w:val="003E5EC8"/>
    <w:rsid w:val="003E63E9"/>
    <w:rsid w:val="003E7627"/>
    <w:rsid w:val="003F06C8"/>
    <w:rsid w:val="003F2079"/>
    <w:rsid w:val="003F285F"/>
    <w:rsid w:val="003F5CAD"/>
    <w:rsid w:val="003F6F81"/>
    <w:rsid w:val="0040009C"/>
    <w:rsid w:val="00400FC4"/>
    <w:rsid w:val="0040290A"/>
    <w:rsid w:val="00402DF0"/>
    <w:rsid w:val="00403C56"/>
    <w:rsid w:val="00404C1C"/>
    <w:rsid w:val="0041553D"/>
    <w:rsid w:val="00415756"/>
    <w:rsid w:val="00415B77"/>
    <w:rsid w:val="00415F22"/>
    <w:rsid w:val="004205D6"/>
    <w:rsid w:val="004228E6"/>
    <w:rsid w:val="00425BBB"/>
    <w:rsid w:val="00426AAA"/>
    <w:rsid w:val="00427262"/>
    <w:rsid w:val="004272CF"/>
    <w:rsid w:val="0043331F"/>
    <w:rsid w:val="00434F53"/>
    <w:rsid w:val="00435E12"/>
    <w:rsid w:val="0043606A"/>
    <w:rsid w:val="00441951"/>
    <w:rsid w:val="00442AE9"/>
    <w:rsid w:val="00442F8D"/>
    <w:rsid w:val="00443B84"/>
    <w:rsid w:val="00453C95"/>
    <w:rsid w:val="00454796"/>
    <w:rsid w:val="00454D10"/>
    <w:rsid w:val="004557B1"/>
    <w:rsid w:val="00460430"/>
    <w:rsid w:val="004609FC"/>
    <w:rsid w:val="00460A24"/>
    <w:rsid w:val="004633F7"/>
    <w:rsid w:val="00470B1E"/>
    <w:rsid w:val="00472409"/>
    <w:rsid w:val="004726C3"/>
    <w:rsid w:val="00472F85"/>
    <w:rsid w:val="00473383"/>
    <w:rsid w:val="00473C78"/>
    <w:rsid w:val="00477587"/>
    <w:rsid w:val="00480036"/>
    <w:rsid w:val="00483804"/>
    <w:rsid w:val="00483C32"/>
    <w:rsid w:val="00484633"/>
    <w:rsid w:val="00485BB0"/>
    <w:rsid w:val="00485F13"/>
    <w:rsid w:val="00490A70"/>
    <w:rsid w:val="00490F6E"/>
    <w:rsid w:val="004A08A2"/>
    <w:rsid w:val="004A297F"/>
    <w:rsid w:val="004A7713"/>
    <w:rsid w:val="004B1F1F"/>
    <w:rsid w:val="004B55E3"/>
    <w:rsid w:val="004C0FCB"/>
    <w:rsid w:val="004C1C1A"/>
    <w:rsid w:val="004C5D06"/>
    <w:rsid w:val="004C72F6"/>
    <w:rsid w:val="004C7980"/>
    <w:rsid w:val="004D5042"/>
    <w:rsid w:val="004D5DCC"/>
    <w:rsid w:val="004E0076"/>
    <w:rsid w:val="004E2B7F"/>
    <w:rsid w:val="004E3E95"/>
    <w:rsid w:val="004F08A2"/>
    <w:rsid w:val="004F0CA7"/>
    <w:rsid w:val="004F3623"/>
    <w:rsid w:val="004F3AF8"/>
    <w:rsid w:val="004F7B80"/>
    <w:rsid w:val="005057FC"/>
    <w:rsid w:val="00507BF2"/>
    <w:rsid w:val="00515620"/>
    <w:rsid w:val="00517D36"/>
    <w:rsid w:val="00520CDF"/>
    <w:rsid w:val="00520D1C"/>
    <w:rsid w:val="00524222"/>
    <w:rsid w:val="005267DE"/>
    <w:rsid w:val="00532D8F"/>
    <w:rsid w:val="00533D21"/>
    <w:rsid w:val="00533F8D"/>
    <w:rsid w:val="0053578D"/>
    <w:rsid w:val="005373A7"/>
    <w:rsid w:val="00540667"/>
    <w:rsid w:val="005422B4"/>
    <w:rsid w:val="00550870"/>
    <w:rsid w:val="00557F0F"/>
    <w:rsid w:val="005653AD"/>
    <w:rsid w:val="00574BBE"/>
    <w:rsid w:val="00575545"/>
    <w:rsid w:val="00577DFF"/>
    <w:rsid w:val="00590F6D"/>
    <w:rsid w:val="00591DE1"/>
    <w:rsid w:val="005941CF"/>
    <w:rsid w:val="00594427"/>
    <w:rsid w:val="00595502"/>
    <w:rsid w:val="00596136"/>
    <w:rsid w:val="005968F5"/>
    <w:rsid w:val="0059780B"/>
    <w:rsid w:val="005A1287"/>
    <w:rsid w:val="005A7750"/>
    <w:rsid w:val="005A7B04"/>
    <w:rsid w:val="005B0041"/>
    <w:rsid w:val="005B2319"/>
    <w:rsid w:val="005B3EE1"/>
    <w:rsid w:val="005B67A8"/>
    <w:rsid w:val="005C2332"/>
    <w:rsid w:val="005C5209"/>
    <w:rsid w:val="005C5813"/>
    <w:rsid w:val="005C79FA"/>
    <w:rsid w:val="005D0E43"/>
    <w:rsid w:val="005D6189"/>
    <w:rsid w:val="005E1E2F"/>
    <w:rsid w:val="005E34CD"/>
    <w:rsid w:val="005E6411"/>
    <w:rsid w:val="005E6720"/>
    <w:rsid w:val="005E6880"/>
    <w:rsid w:val="005E7B04"/>
    <w:rsid w:val="005F0081"/>
    <w:rsid w:val="005F015F"/>
    <w:rsid w:val="005F4387"/>
    <w:rsid w:val="005F595D"/>
    <w:rsid w:val="006001D0"/>
    <w:rsid w:val="00601228"/>
    <w:rsid w:val="00602458"/>
    <w:rsid w:val="00604E4C"/>
    <w:rsid w:val="006062A6"/>
    <w:rsid w:val="0060638B"/>
    <w:rsid w:val="0061263C"/>
    <w:rsid w:val="00613E22"/>
    <w:rsid w:val="00614C82"/>
    <w:rsid w:val="006160C1"/>
    <w:rsid w:val="006168C1"/>
    <w:rsid w:val="00620996"/>
    <w:rsid w:val="00625C04"/>
    <w:rsid w:val="0062762C"/>
    <w:rsid w:val="0062797B"/>
    <w:rsid w:val="00630F5D"/>
    <w:rsid w:val="0063417F"/>
    <w:rsid w:val="00635EE6"/>
    <w:rsid w:val="00637013"/>
    <w:rsid w:val="0063705F"/>
    <w:rsid w:val="00641096"/>
    <w:rsid w:val="00642153"/>
    <w:rsid w:val="0064754B"/>
    <w:rsid w:val="006519E0"/>
    <w:rsid w:val="00651DBD"/>
    <w:rsid w:val="00653533"/>
    <w:rsid w:val="00654DD4"/>
    <w:rsid w:val="0065638A"/>
    <w:rsid w:val="006564AB"/>
    <w:rsid w:val="00656A89"/>
    <w:rsid w:val="00656CE1"/>
    <w:rsid w:val="00657A06"/>
    <w:rsid w:val="00660493"/>
    <w:rsid w:val="00665D04"/>
    <w:rsid w:val="006728F9"/>
    <w:rsid w:val="0067330D"/>
    <w:rsid w:val="006820C5"/>
    <w:rsid w:val="00685791"/>
    <w:rsid w:val="00690315"/>
    <w:rsid w:val="00691AC7"/>
    <w:rsid w:val="006946CD"/>
    <w:rsid w:val="0069550E"/>
    <w:rsid w:val="006961A3"/>
    <w:rsid w:val="006A2961"/>
    <w:rsid w:val="006A2D2B"/>
    <w:rsid w:val="006A312D"/>
    <w:rsid w:val="006B392F"/>
    <w:rsid w:val="006B3D99"/>
    <w:rsid w:val="006B4755"/>
    <w:rsid w:val="006B5175"/>
    <w:rsid w:val="006B563A"/>
    <w:rsid w:val="006B5F16"/>
    <w:rsid w:val="006C3A70"/>
    <w:rsid w:val="006C500F"/>
    <w:rsid w:val="006D451F"/>
    <w:rsid w:val="006E1236"/>
    <w:rsid w:val="006E3C2A"/>
    <w:rsid w:val="006E6D84"/>
    <w:rsid w:val="006F11B6"/>
    <w:rsid w:val="006F2D9F"/>
    <w:rsid w:val="006F5F16"/>
    <w:rsid w:val="0070763F"/>
    <w:rsid w:val="00707BCE"/>
    <w:rsid w:val="007136DE"/>
    <w:rsid w:val="00715415"/>
    <w:rsid w:val="00716268"/>
    <w:rsid w:val="00717FCE"/>
    <w:rsid w:val="007233B7"/>
    <w:rsid w:val="00723EE9"/>
    <w:rsid w:val="00726FFD"/>
    <w:rsid w:val="00736E14"/>
    <w:rsid w:val="00750417"/>
    <w:rsid w:val="00751467"/>
    <w:rsid w:val="007519D3"/>
    <w:rsid w:val="007626CF"/>
    <w:rsid w:val="0076444D"/>
    <w:rsid w:val="00764F65"/>
    <w:rsid w:val="0076510B"/>
    <w:rsid w:val="00765564"/>
    <w:rsid w:val="007670C8"/>
    <w:rsid w:val="0077014F"/>
    <w:rsid w:val="007711D3"/>
    <w:rsid w:val="00773467"/>
    <w:rsid w:val="00776EBC"/>
    <w:rsid w:val="007813BC"/>
    <w:rsid w:val="00783ADA"/>
    <w:rsid w:val="00784A73"/>
    <w:rsid w:val="0078742F"/>
    <w:rsid w:val="007902E9"/>
    <w:rsid w:val="00790760"/>
    <w:rsid w:val="00791F4C"/>
    <w:rsid w:val="0079585E"/>
    <w:rsid w:val="007A0656"/>
    <w:rsid w:val="007B1E69"/>
    <w:rsid w:val="007B2884"/>
    <w:rsid w:val="007B3DB9"/>
    <w:rsid w:val="007B62D8"/>
    <w:rsid w:val="007C28F2"/>
    <w:rsid w:val="007C3B8D"/>
    <w:rsid w:val="007C57CD"/>
    <w:rsid w:val="007C653A"/>
    <w:rsid w:val="007C662D"/>
    <w:rsid w:val="007D0BD9"/>
    <w:rsid w:val="007D0FD3"/>
    <w:rsid w:val="007D165B"/>
    <w:rsid w:val="007D4100"/>
    <w:rsid w:val="007D63CC"/>
    <w:rsid w:val="007E0E8E"/>
    <w:rsid w:val="007E0F23"/>
    <w:rsid w:val="007E1C3E"/>
    <w:rsid w:val="007E343D"/>
    <w:rsid w:val="007F01E1"/>
    <w:rsid w:val="007F1F5B"/>
    <w:rsid w:val="007F2DE5"/>
    <w:rsid w:val="007F4711"/>
    <w:rsid w:val="007F73A8"/>
    <w:rsid w:val="007F776F"/>
    <w:rsid w:val="00805E46"/>
    <w:rsid w:val="00807283"/>
    <w:rsid w:val="008130EB"/>
    <w:rsid w:val="00814CC1"/>
    <w:rsid w:val="00822AC1"/>
    <w:rsid w:val="0082306E"/>
    <w:rsid w:val="008249A4"/>
    <w:rsid w:val="00824CEB"/>
    <w:rsid w:val="00826993"/>
    <w:rsid w:val="0083116B"/>
    <w:rsid w:val="0083164F"/>
    <w:rsid w:val="0083481C"/>
    <w:rsid w:val="00836840"/>
    <w:rsid w:val="00841ACF"/>
    <w:rsid w:val="008427D5"/>
    <w:rsid w:val="008460CC"/>
    <w:rsid w:val="00846CB7"/>
    <w:rsid w:val="00853323"/>
    <w:rsid w:val="00855121"/>
    <w:rsid w:val="00863831"/>
    <w:rsid w:val="0086452D"/>
    <w:rsid w:val="00866CD2"/>
    <w:rsid w:val="00870BF4"/>
    <w:rsid w:val="008720A0"/>
    <w:rsid w:val="0087472E"/>
    <w:rsid w:val="0087663D"/>
    <w:rsid w:val="00880AF9"/>
    <w:rsid w:val="00883079"/>
    <w:rsid w:val="0088314F"/>
    <w:rsid w:val="0088349E"/>
    <w:rsid w:val="0088422A"/>
    <w:rsid w:val="008858DB"/>
    <w:rsid w:val="00886C1D"/>
    <w:rsid w:val="008A135F"/>
    <w:rsid w:val="008A1469"/>
    <w:rsid w:val="008A1FF6"/>
    <w:rsid w:val="008A591A"/>
    <w:rsid w:val="008A6ED9"/>
    <w:rsid w:val="008A70AC"/>
    <w:rsid w:val="008A7A78"/>
    <w:rsid w:val="008B1814"/>
    <w:rsid w:val="008B1C19"/>
    <w:rsid w:val="008B2FCA"/>
    <w:rsid w:val="008B34EE"/>
    <w:rsid w:val="008B4717"/>
    <w:rsid w:val="008B6C9A"/>
    <w:rsid w:val="008C12AC"/>
    <w:rsid w:val="008C35AF"/>
    <w:rsid w:val="008C61C9"/>
    <w:rsid w:val="008D0277"/>
    <w:rsid w:val="008D0B0A"/>
    <w:rsid w:val="008D3484"/>
    <w:rsid w:val="008D40C8"/>
    <w:rsid w:val="008D4D62"/>
    <w:rsid w:val="008D7B4C"/>
    <w:rsid w:val="008E15D0"/>
    <w:rsid w:val="008E3048"/>
    <w:rsid w:val="008E3205"/>
    <w:rsid w:val="008E3CB5"/>
    <w:rsid w:val="008E66DA"/>
    <w:rsid w:val="008E74E0"/>
    <w:rsid w:val="008E7FA5"/>
    <w:rsid w:val="008F0854"/>
    <w:rsid w:val="008F13AB"/>
    <w:rsid w:val="008F1927"/>
    <w:rsid w:val="009003C7"/>
    <w:rsid w:val="00901F55"/>
    <w:rsid w:val="00907F43"/>
    <w:rsid w:val="0091301F"/>
    <w:rsid w:val="00913453"/>
    <w:rsid w:val="00916289"/>
    <w:rsid w:val="009171B0"/>
    <w:rsid w:val="009271E2"/>
    <w:rsid w:val="009278AE"/>
    <w:rsid w:val="00931EE3"/>
    <w:rsid w:val="00934404"/>
    <w:rsid w:val="00940C8E"/>
    <w:rsid w:val="009412EF"/>
    <w:rsid w:val="009432EE"/>
    <w:rsid w:val="00944261"/>
    <w:rsid w:val="00946454"/>
    <w:rsid w:val="00947EBB"/>
    <w:rsid w:val="0095534B"/>
    <w:rsid w:val="00960CC0"/>
    <w:rsid w:val="00964CAD"/>
    <w:rsid w:val="00964CB8"/>
    <w:rsid w:val="009650AC"/>
    <w:rsid w:val="009708F5"/>
    <w:rsid w:val="00970D4A"/>
    <w:rsid w:val="009737EA"/>
    <w:rsid w:val="00974111"/>
    <w:rsid w:val="00975A40"/>
    <w:rsid w:val="009805CF"/>
    <w:rsid w:val="0098144C"/>
    <w:rsid w:val="00981763"/>
    <w:rsid w:val="00983443"/>
    <w:rsid w:val="009835D9"/>
    <w:rsid w:val="009877B5"/>
    <w:rsid w:val="00990588"/>
    <w:rsid w:val="00990B9F"/>
    <w:rsid w:val="0099159B"/>
    <w:rsid w:val="00993891"/>
    <w:rsid w:val="00997FE5"/>
    <w:rsid w:val="009A71A2"/>
    <w:rsid w:val="009A7BFF"/>
    <w:rsid w:val="009B17F3"/>
    <w:rsid w:val="009B3900"/>
    <w:rsid w:val="009B57C2"/>
    <w:rsid w:val="009B7774"/>
    <w:rsid w:val="009B7A7C"/>
    <w:rsid w:val="009B7BBA"/>
    <w:rsid w:val="009C029C"/>
    <w:rsid w:val="009C0AB7"/>
    <w:rsid w:val="009C12AD"/>
    <w:rsid w:val="009C1A30"/>
    <w:rsid w:val="009C230F"/>
    <w:rsid w:val="009C2342"/>
    <w:rsid w:val="009C2752"/>
    <w:rsid w:val="009C3938"/>
    <w:rsid w:val="009C677F"/>
    <w:rsid w:val="009C7144"/>
    <w:rsid w:val="009D0F76"/>
    <w:rsid w:val="009D39F9"/>
    <w:rsid w:val="009D5D0F"/>
    <w:rsid w:val="009D6F58"/>
    <w:rsid w:val="009D7354"/>
    <w:rsid w:val="009E419B"/>
    <w:rsid w:val="009E41E2"/>
    <w:rsid w:val="009F6614"/>
    <w:rsid w:val="00A01728"/>
    <w:rsid w:val="00A03D7B"/>
    <w:rsid w:val="00A0503D"/>
    <w:rsid w:val="00A053D2"/>
    <w:rsid w:val="00A0545D"/>
    <w:rsid w:val="00A0595B"/>
    <w:rsid w:val="00A07FE5"/>
    <w:rsid w:val="00A121C3"/>
    <w:rsid w:val="00A1644C"/>
    <w:rsid w:val="00A16631"/>
    <w:rsid w:val="00A215FD"/>
    <w:rsid w:val="00A2516F"/>
    <w:rsid w:val="00A2617E"/>
    <w:rsid w:val="00A26A2F"/>
    <w:rsid w:val="00A30C6E"/>
    <w:rsid w:val="00A34F41"/>
    <w:rsid w:val="00A350B5"/>
    <w:rsid w:val="00A44D54"/>
    <w:rsid w:val="00A47A09"/>
    <w:rsid w:val="00A47F94"/>
    <w:rsid w:val="00A50651"/>
    <w:rsid w:val="00A508C0"/>
    <w:rsid w:val="00A5561F"/>
    <w:rsid w:val="00A61BC4"/>
    <w:rsid w:val="00A63EC3"/>
    <w:rsid w:val="00A63F5C"/>
    <w:rsid w:val="00A65C6E"/>
    <w:rsid w:val="00A65E9C"/>
    <w:rsid w:val="00A73268"/>
    <w:rsid w:val="00A8176E"/>
    <w:rsid w:val="00A84D7A"/>
    <w:rsid w:val="00A87452"/>
    <w:rsid w:val="00A9111E"/>
    <w:rsid w:val="00A9219E"/>
    <w:rsid w:val="00A93115"/>
    <w:rsid w:val="00A93198"/>
    <w:rsid w:val="00A961CC"/>
    <w:rsid w:val="00A97638"/>
    <w:rsid w:val="00AA0DB7"/>
    <w:rsid w:val="00AA14A4"/>
    <w:rsid w:val="00AA2947"/>
    <w:rsid w:val="00AA3093"/>
    <w:rsid w:val="00AA3EAD"/>
    <w:rsid w:val="00AA5378"/>
    <w:rsid w:val="00AB61C5"/>
    <w:rsid w:val="00AC0764"/>
    <w:rsid w:val="00AC2A34"/>
    <w:rsid w:val="00AC4C2C"/>
    <w:rsid w:val="00AC64E3"/>
    <w:rsid w:val="00AC6BA7"/>
    <w:rsid w:val="00AD038A"/>
    <w:rsid w:val="00AD15DA"/>
    <w:rsid w:val="00AD1FB6"/>
    <w:rsid w:val="00AE0205"/>
    <w:rsid w:val="00AE13CA"/>
    <w:rsid w:val="00AE1608"/>
    <w:rsid w:val="00AE2BAD"/>
    <w:rsid w:val="00AE5960"/>
    <w:rsid w:val="00AE6E72"/>
    <w:rsid w:val="00AE7702"/>
    <w:rsid w:val="00AF0195"/>
    <w:rsid w:val="00AF1644"/>
    <w:rsid w:val="00AF4E61"/>
    <w:rsid w:val="00AF7340"/>
    <w:rsid w:val="00AF7BCD"/>
    <w:rsid w:val="00B02A19"/>
    <w:rsid w:val="00B04CE6"/>
    <w:rsid w:val="00B04EF2"/>
    <w:rsid w:val="00B05E45"/>
    <w:rsid w:val="00B06353"/>
    <w:rsid w:val="00B063C7"/>
    <w:rsid w:val="00B06847"/>
    <w:rsid w:val="00B1333C"/>
    <w:rsid w:val="00B14D00"/>
    <w:rsid w:val="00B16188"/>
    <w:rsid w:val="00B16ADF"/>
    <w:rsid w:val="00B17082"/>
    <w:rsid w:val="00B22710"/>
    <w:rsid w:val="00B22E6B"/>
    <w:rsid w:val="00B24B25"/>
    <w:rsid w:val="00B259D3"/>
    <w:rsid w:val="00B336B7"/>
    <w:rsid w:val="00B33D69"/>
    <w:rsid w:val="00B3559C"/>
    <w:rsid w:val="00B36A99"/>
    <w:rsid w:val="00B36E96"/>
    <w:rsid w:val="00B37060"/>
    <w:rsid w:val="00B437DB"/>
    <w:rsid w:val="00B44BFA"/>
    <w:rsid w:val="00B459EF"/>
    <w:rsid w:val="00B46531"/>
    <w:rsid w:val="00B47469"/>
    <w:rsid w:val="00B52941"/>
    <w:rsid w:val="00B52CB7"/>
    <w:rsid w:val="00B54911"/>
    <w:rsid w:val="00B55B20"/>
    <w:rsid w:val="00B5773D"/>
    <w:rsid w:val="00B60927"/>
    <w:rsid w:val="00B6427D"/>
    <w:rsid w:val="00B67B8D"/>
    <w:rsid w:val="00B70BF6"/>
    <w:rsid w:val="00B734AD"/>
    <w:rsid w:val="00B75C80"/>
    <w:rsid w:val="00B75F75"/>
    <w:rsid w:val="00B92CF3"/>
    <w:rsid w:val="00BA2A0A"/>
    <w:rsid w:val="00BA5D44"/>
    <w:rsid w:val="00BB2C52"/>
    <w:rsid w:val="00BB3A0E"/>
    <w:rsid w:val="00BC04B4"/>
    <w:rsid w:val="00BC1461"/>
    <w:rsid w:val="00BC1B4A"/>
    <w:rsid w:val="00BC22DF"/>
    <w:rsid w:val="00BC4596"/>
    <w:rsid w:val="00BC6B57"/>
    <w:rsid w:val="00BC7C3F"/>
    <w:rsid w:val="00BD1366"/>
    <w:rsid w:val="00BD1614"/>
    <w:rsid w:val="00BD2F06"/>
    <w:rsid w:val="00BD3CF2"/>
    <w:rsid w:val="00BD4292"/>
    <w:rsid w:val="00BE0234"/>
    <w:rsid w:val="00BE3694"/>
    <w:rsid w:val="00BE602D"/>
    <w:rsid w:val="00BF119A"/>
    <w:rsid w:val="00BF2806"/>
    <w:rsid w:val="00BF2ED8"/>
    <w:rsid w:val="00BF378B"/>
    <w:rsid w:val="00BF7A3B"/>
    <w:rsid w:val="00C00BFA"/>
    <w:rsid w:val="00C03DE1"/>
    <w:rsid w:val="00C0608A"/>
    <w:rsid w:val="00C0793E"/>
    <w:rsid w:val="00C10A7F"/>
    <w:rsid w:val="00C13D75"/>
    <w:rsid w:val="00C149A8"/>
    <w:rsid w:val="00C14F87"/>
    <w:rsid w:val="00C16F90"/>
    <w:rsid w:val="00C21A55"/>
    <w:rsid w:val="00C25373"/>
    <w:rsid w:val="00C2619D"/>
    <w:rsid w:val="00C27E52"/>
    <w:rsid w:val="00C32105"/>
    <w:rsid w:val="00C36C9B"/>
    <w:rsid w:val="00C4085F"/>
    <w:rsid w:val="00C434F3"/>
    <w:rsid w:val="00C447E4"/>
    <w:rsid w:val="00C456BE"/>
    <w:rsid w:val="00C463EA"/>
    <w:rsid w:val="00C47FDF"/>
    <w:rsid w:val="00C50689"/>
    <w:rsid w:val="00C527C3"/>
    <w:rsid w:val="00C54640"/>
    <w:rsid w:val="00C60F5D"/>
    <w:rsid w:val="00C61979"/>
    <w:rsid w:val="00C658DB"/>
    <w:rsid w:val="00C74220"/>
    <w:rsid w:val="00C75542"/>
    <w:rsid w:val="00C76B97"/>
    <w:rsid w:val="00C772CD"/>
    <w:rsid w:val="00C77BBE"/>
    <w:rsid w:val="00C80817"/>
    <w:rsid w:val="00C8131F"/>
    <w:rsid w:val="00C83C2E"/>
    <w:rsid w:val="00C84288"/>
    <w:rsid w:val="00C843B3"/>
    <w:rsid w:val="00C85102"/>
    <w:rsid w:val="00C86B88"/>
    <w:rsid w:val="00C8762B"/>
    <w:rsid w:val="00C922AE"/>
    <w:rsid w:val="00C92809"/>
    <w:rsid w:val="00C94E20"/>
    <w:rsid w:val="00C959FB"/>
    <w:rsid w:val="00C95A83"/>
    <w:rsid w:val="00C95C2F"/>
    <w:rsid w:val="00C968A9"/>
    <w:rsid w:val="00C96CC7"/>
    <w:rsid w:val="00CA04A4"/>
    <w:rsid w:val="00CA157B"/>
    <w:rsid w:val="00CA2BE6"/>
    <w:rsid w:val="00CA2FDB"/>
    <w:rsid w:val="00CA6385"/>
    <w:rsid w:val="00CB1E60"/>
    <w:rsid w:val="00CB518F"/>
    <w:rsid w:val="00CB6D23"/>
    <w:rsid w:val="00CC19C2"/>
    <w:rsid w:val="00CC4A65"/>
    <w:rsid w:val="00CC555B"/>
    <w:rsid w:val="00CC55FC"/>
    <w:rsid w:val="00CC7D03"/>
    <w:rsid w:val="00CD0548"/>
    <w:rsid w:val="00CD0C0B"/>
    <w:rsid w:val="00CD0F3B"/>
    <w:rsid w:val="00CD204C"/>
    <w:rsid w:val="00CD27DC"/>
    <w:rsid w:val="00CD6E41"/>
    <w:rsid w:val="00CE0ED9"/>
    <w:rsid w:val="00CE5708"/>
    <w:rsid w:val="00CE758E"/>
    <w:rsid w:val="00CF2EB8"/>
    <w:rsid w:val="00CF399A"/>
    <w:rsid w:val="00CF5CBA"/>
    <w:rsid w:val="00D01C3B"/>
    <w:rsid w:val="00D02395"/>
    <w:rsid w:val="00D05654"/>
    <w:rsid w:val="00D070BD"/>
    <w:rsid w:val="00D07884"/>
    <w:rsid w:val="00D10B35"/>
    <w:rsid w:val="00D111B9"/>
    <w:rsid w:val="00D12D37"/>
    <w:rsid w:val="00D13BDD"/>
    <w:rsid w:val="00D13EE6"/>
    <w:rsid w:val="00D203D6"/>
    <w:rsid w:val="00D25345"/>
    <w:rsid w:val="00D26E51"/>
    <w:rsid w:val="00D30AD8"/>
    <w:rsid w:val="00D30FF3"/>
    <w:rsid w:val="00D32E46"/>
    <w:rsid w:val="00D35811"/>
    <w:rsid w:val="00D403B5"/>
    <w:rsid w:val="00D43235"/>
    <w:rsid w:val="00D437F2"/>
    <w:rsid w:val="00D72438"/>
    <w:rsid w:val="00D73AFD"/>
    <w:rsid w:val="00D75CA5"/>
    <w:rsid w:val="00D8096B"/>
    <w:rsid w:val="00D8226C"/>
    <w:rsid w:val="00D82D16"/>
    <w:rsid w:val="00D8359F"/>
    <w:rsid w:val="00D836CD"/>
    <w:rsid w:val="00D85745"/>
    <w:rsid w:val="00D90B78"/>
    <w:rsid w:val="00D90D6B"/>
    <w:rsid w:val="00D90E9E"/>
    <w:rsid w:val="00D9149F"/>
    <w:rsid w:val="00D93CAB"/>
    <w:rsid w:val="00D95C70"/>
    <w:rsid w:val="00DA13DE"/>
    <w:rsid w:val="00DA1FEF"/>
    <w:rsid w:val="00DA776A"/>
    <w:rsid w:val="00DA78D7"/>
    <w:rsid w:val="00DB18F5"/>
    <w:rsid w:val="00DB4365"/>
    <w:rsid w:val="00DC2A83"/>
    <w:rsid w:val="00DC2E6D"/>
    <w:rsid w:val="00DC3D50"/>
    <w:rsid w:val="00DC3FA2"/>
    <w:rsid w:val="00DC5E23"/>
    <w:rsid w:val="00DD03E8"/>
    <w:rsid w:val="00DD13C3"/>
    <w:rsid w:val="00DE0461"/>
    <w:rsid w:val="00DE0808"/>
    <w:rsid w:val="00DE2F30"/>
    <w:rsid w:val="00DE772C"/>
    <w:rsid w:val="00DF2D1B"/>
    <w:rsid w:val="00DF2EB5"/>
    <w:rsid w:val="00DF3B53"/>
    <w:rsid w:val="00DF4BED"/>
    <w:rsid w:val="00DF627F"/>
    <w:rsid w:val="00DF6617"/>
    <w:rsid w:val="00E01E04"/>
    <w:rsid w:val="00E03065"/>
    <w:rsid w:val="00E0395B"/>
    <w:rsid w:val="00E04F51"/>
    <w:rsid w:val="00E06E4B"/>
    <w:rsid w:val="00E129A7"/>
    <w:rsid w:val="00E21400"/>
    <w:rsid w:val="00E21D82"/>
    <w:rsid w:val="00E22F18"/>
    <w:rsid w:val="00E23E37"/>
    <w:rsid w:val="00E26F87"/>
    <w:rsid w:val="00E3055E"/>
    <w:rsid w:val="00E31567"/>
    <w:rsid w:val="00E31FCD"/>
    <w:rsid w:val="00E329F0"/>
    <w:rsid w:val="00E43D29"/>
    <w:rsid w:val="00E52018"/>
    <w:rsid w:val="00E52C15"/>
    <w:rsid w:val="00E53566"/>
    <w:rsid w:val="00E561E3"/>
    <w:rsid w:val="00E577F3"/>
    <w:rsid w:val="00E60A66"/>
    <w:rsid w:val="00E6283A"/>
    <w:rsid w:val="00E62FF1"/>
    <w:rsid w:val="00E6350F"/>
    <w:rsid w:val="00E64E53"/>
    <w:rsid w:val="00E7450C"/>
    <w:rsid w:val="00E81847"/>
    <w:rsid w:val="00E83037"/>
    <w:rsid w:val="00E92812"/>
    <w:rsid w:val="00E93530"/>
    <w:rsid w:val="00E94E50"/>
    <w:rsid w:val="00E96F92"/>
    <w:rsid w:val="00E979BE"/>
    <w:rsid w:val="00E97B3E"/>
    <w:rsid w:val="00EA03C7"/>
    <w:rsid w:val="00EA3888"/>
    <w:rsid w:val="00EA73F8"/>
    <w:rsid w:val="00EA7774"/>
    <w:rsid w:val="00EB6551"/>
    <w:rsid w:val="00EB7B21"/>
    <w:rsid w:val="00EB7B53"/>
    <w:rsid w:val="00EC0E2A"/>
    <w:rsid w:val="00EC0E67"/>
    <w:rsid w:val="00EC138E"/>
    <w:rsid w:val="00EC2B2F"/>
    <w:rsid w:val="00EC3D4E"/>
    <w:rsid w:val="00EC46EA"/>
    <w:rsid w:val="00EC648B"/>
    <w:rsid w:val="00ED0B46"/>
    <w:rsid w:val="00ED5C18"/>
    <w:rsid w:val="00ED658F"/>
    <w:rsid w:val="00EE1DC9"/>
    <w:rsid w:val="00EE480D"/>
    <w:rsid w:val="00EE5956"/>
    <w:rsid w:val="00EE710F"/>
    <w:rsid w:val="00EF0004"/>
    <w:rsid w:val="00EF0485"/>
    <w:rsid w:val="00EF0DA3"/>
    <w:rsid w:val="00EF12B7"/>
    <w:rsid w:val="00EF19E0"/>
    <w:rsid w:val="00EF2A04"/>
    <w:rsid w:val="00EF2DC6"/>
    <w:rsid w:val="00EF657D"/>
    <w:rsid w:val="00F0501E"/>
    <w:rsid w:val="00F075B0"/>
    <w:rsid w:val="00F12905"/>
    <w:rsid w:val="00F12C86"/>
    <w:rsid w:val="00F16071"/>
    <w:rsid w:val="00F17CB1"/>
    <w:rsid w:val="00F228E1"/>
    <w:rsid w:val="00F3159E"/>
    <w:rsid w:val="00F31D3F"/>
    <w:rsid w:val="00F3494A"/>
    <w:rsid w:val="00F3668A"/>
    <w:rsid w:val="00F37135"/>
    <w:rsid w:val="00F42B1D"/>
    <w:rsid w:val="00F44E98"/>
    <w:rsid w:val="00F472A8"/>
    <w:rsid w:val="00F47A6B"/>
    <w:rsid w:val="00F508B9"/>
    <w:rsid w:val="00F51046"/>
    <w:rsid w:val="00F53730"/>
    <w:rsid w:val="00F559E9"/>
    <w:rsid w:val="00F609E6"/>
    <w:rsid w:val="00F62575"/>
    <w:rsid w:val="00F6340B"/>
    <w:rsid w:val="00F636D9"/>
    <w:rsid w:val="00F64B9A"/>
    <w:rsid w:val="00F64FB9"/>
    <w:rsid w:val="00F665D6"/>
    <w:rsid w:val="00F669C7"/>
    <w:rsid w:val="00F710EB"/>
    <w:rsid w:val="00F81679"/>
    <w:rsid w:val="00F8190F"/>
    <w:rsid w:val="00F832CA"/>
    <w:rsid w:val="00F8355F"/>
    <w:rsid w:val="00F84CFB"/>
    <w:rsid w:val="00F86427"/>
    <w:rsid w:val="00F87A81"/>
    <w:rsid w:val="00F94EE4"/>
    <w:rsid w:val="00F9513A"/>
    <w:rsid w:val="00F95261"/>
    <w:rsid w:val="00F955C1"/>
    <w:rsid w:val="00F95FDC"/>
    <w:rsid w:val="00F97C32"/>
    <w:rsid w:val="00FA0566"/>
    <w:rsid w:val="00FA4AA5"/>
    <w:rsid w:val="00FB0268"/>
    <w:rsid w:val="00FB0318"/>
    <w:rsid w:val="00FB1CCF"/>
    <w:rsid w:val="00FB5F1C"/>
    <w:rsid w:val="00FB61AD"/>
    <w:rsid w:val="00FB732B"/>
    <w:rsid w:val="00FB796B"/>
    <w:rsid w:val="00FB7A51"/>
    <w:rsid w:val="00FC1338"/>
    <w:rsid w:val="00FC2CD7"/>
    <w:rsid w:val="00FC3DC8"/>
    <w:rsid w:val="00FC5B16"/>
    <w:rsid w:val="00FD0347"/>
    <w:rsid w:val="00FD1832"/>
    <w:rsid w:val="00FD1AFC"/>
    <w:rsid w:val="00FD3C5B"/>
    <w:rsid w:val="00FD3CE6"/>
    <w:rsid w:val="00FD40FB"/>
    <w:rsid w:val="00FD4E8A"/>
    <w:rsid w:val="00FD587B"/>
    <w:rsid w:val="00FD610B"/>
    <w:rsid w:val="00FE396B"/>
    <w:rsid w:val="00FE4376"/>
    <w:rsid w:val="00FE4CE5"/>
    <w:rsid w:val="00FE5D2E"/>
    <w:rsid w:val="00FE7096"/>
    <w:rsid w:val="00FF06FE"/>
    <w:rsid w:val="00FF0F13"/>
    <w:rsid w:val="00FF49BF"/>
    <w:rsid w:val="00FF4AD8"/>
    <w:rsid w:val="00FF5A9E"/>
    <w:rsid w:val="00FF62A2"/>
    <w:rsid w:val="00FF6E95"/>
    <w:rsid w:val="00FF798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5612D"/>
  <w15:docId w15:val="{F29470AE-DE8E-4147-BC43-F173B93C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3"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iPriority="99" w:unhideWhenUsed="1"/>
    <w:lsdException w:name="footer" w:semiHidden="1" w:uiPriority="8"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8"/>
    <w:lsdException w:name="List 2" w:semiHidden="1" w:unhideWhenUsed="1"/>
    <w:lsdException w:name="List 3"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11D3"/>
    <w:pPr>
      <w:spacing w:after="180" w:line="260" w:lineRule="atLeast"/>
    </w:pPr>
    <w:rPr>
      <w:rFonts w:ascii="Arial" w:eastAsiaTheme="minorHAnsi" w:hAnsi="Arial"/>
      <w:szCs w:val="24"/>
    </w:rPr>
  </w:style>
  <w:style w:type="paragraph" w:styleId="Titolo1">
    <w:name w:val="heading 1"/>
    <w:basedOn w:val="Normale"/>
    <w:next w:val="Normale"/>
    <w:link w:val="Titolo1Carattere"/>
    <w:uiPriority w:val="1"/>
    <w:qFormat/>
    <w:rsid w:val="00B04EF2"/>
    <w:pPr>
      <w:snapToGrid w:val="0"/>
      <w:spacing w:before="240" w:line="257" w:lineRule="auto"/>
      <w:outlineLvl w:val="0"/>
    </w:pPr>
    <w:rPr>
      <w:rFonts w:eastAsia="Century Gothic" w:cs="Arial"/>
      <w:color w:val="808080" w:themeColor="background1" w:themeShade="80"/>
      <w:spacing w:val="2"/>
      <w:sz w:val="42"/>
      <w:szCs w:val="42"/>
    </w:rPr>
  </w:style>
  <w:style w:type="paragraph" w:styleId="Titolo2">
    <w:name w:val="heading 2"/>
    <w:basedOn w:val="Normale"/>
    <w:next w:val="Normale"/>
    <w:link w:val="Titolo2Carattere"/>
    <w:uiPriority w:val="1"/>
    <w:qFormat/>
    <w:rsid w:val="00B04EF2"/>
    <w:pPr>
      <w:pBdr>
        <w:bottom w:val="single" w:sz="8" w:space="1" w:color="A6A6A6"/>
      </w:pBdr>
      <w:snapToGrid w:val="0"/>
      <w:spacing w:before="480" w:after="120"/>
      <w:outlineLvl w:val="1"/>
    </w:pPr>
    <w:rPr>
      <w:rFonts w:eastAsia="Century Gothic" w:cs="Arial (Body)"/>
      <w:b/>
      <w:caps/>
      <w:color w:val="009CDE"/>
      <w:szCs w:val="20"/>
    </w:rPr>
  </w:style>
  <w:style w:type="paragraph" w:styleId="Titolo3">
    <w:name w:val="heading 3"/>
    <w:basedOn w:val="Normale"/>
    <w:next w:val="Normale"/>
    <w:link w:val="Titolo3Carattere"/>
    <w:uiPriority w:val="3"/>
    <w:qFormat/>
    <w:rsid w:val="00B04EF2"/>
    <w:pPr>
      <w:snapToGrid w:val="0"/>
      <w:spacing w:before="240"/>
      <w:outlineLvl w:val="2"/>
    </w:pPr>
    <w:rPr>
      <w:rFonts w:eastAsiaTheme="majorEastAsia" w:cstheme="majorBidi"/>
      <w:caps/>
      <w:color w:val="707372"/>
      <w:szCs w:val="20"/>
    </w:rPr>
  </w:style>
  <w:style w:type="paragraph" w:styleId="Titolo4">
    <w:name w:val="heading 4"/>
    <w:basedOn w:val="Normale"/>
    <w:next w:val="Normale"/>
    <w:link w:val="Titolo4Carattere"/>
    <w:uiPriority w:val="3"/>
    <w:qFormat/>
    <w:rsid w:val="00B04EF2"/>
    <w:pPr>
      <w:keepNext/>
      <w:spacing w:after="240"/>
      <w:outlineLvl w:val="3"/>
    </w:pPr>
    <w:rPr>
      <w:b/>
      <w:bCs/>
      <w:i/>
      <w:szCs w:val="28"/>
    </w:rPr>
  </w:style>
  <w:style w:type="paragraph" w:styleId="Titolo5">
    <w:name w:val="heading 5"/>
    <w:basedOn w:val="Normale"/>
    <w:next w:val="Normale"/>
    <w:link w:val="Titolo5Carattere"/>
    <w:uiPriority w:val="13"/>
    <w:unhideWhenUsed/>
    <w:qFormat/>
    <w:rsid w:val="00B04EF2"/>
    <w:pPr>
      <w:keepNext/>
      <w:spacing w:after="240"/>
      <w:outlineLvl w:val="4"/>
    </w:pPr>
    <w:rPr>
      <w:bCs/>
      <w:i/>
      <w:iCs/>
      <w:szCs w:val="26"/>
    </w:rPr>
  </w:style>
  <w:style w:type="paragraph" w:styleId="Titolo6">
    <w:name w:val="heading 6"/>
    <w:basedOn w:val="Normale"/>
    <w:next w:val="Normale"/>
    <w:link w:val="Titolo6Carattere"/>
    <w:uiPriority w:val="8"/>
    <w:rsid w:val="00B04EF2"/>
    <w:pPr>
      <w:outlineLvl w:val="5"/>
    </w:pPr>
    <w:rPr>
      <w:bCs/>
      <w:szCs w:val="22"/>
    </w:rPr>
  </w:style>
  <w:style w:type="paragraph" w:styleId="Titolo7">
    <w:name w:val="heading 7"/>
    <w:basedOn w:val="Normale"/>
    <w:next w:val="Normale"/>
    <w:link w:val="Titolo7Carattere"/>
    <w:uiPriority w:val="8"/>
    <w:rsid w:val="00B04EF2"/>
    <w:pPr>
      <w:outlineLvl w:val="6"/>
    </w:pPr>
  </w:style>
  <w:style w:type="paragraph" w:styleId="Titolo8">
    <w:name w:val="heading 8"/>
    <w:basedOn w:val="Normale"/>
    <w:next w:val="Normale"/>
    <w:link w:val="Titolo8Carattere"/>
    <w:uiPriority w:val="8"/>
    <w:rsid w:val="00B04EF2"/>
    <w:pPr>
      <w:outlineLvl w:val="7"/>
    </w:pPr>
    <w:rPr>
      <w:iCs/>
    </w:rPr>
  </w:style>
  <w:style w:type="paragraph" w:styleId="Titolo9">
    <w:name w:val="heading 9"/>
    <w:basedOn w:val="Normale"/>
    <w:next w:val="Normale"/>
    <w:link w:val="Titolo9Carattere"/>
    <w:uiPriority w:val="8"/>
    <w:rsid w:val="00B04EF2"/>
    <w:pPr>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04EF2"/>
    <w:pPr>
      <w:tabs>
        <w:tab w:val="center" w:pos="4320"/>
        <w:tab w:val="right" w:pos="8640"/>
      </w:tabs>
    </w:pPr>
  </w:style>
  <w:style w:type="character" w:styleId="Numeropagina">
    <w:name w:val="page number"/>
    <w:basedOn w:val="Carpredefinitoparagrafo"/>
    <w:uiPriority w:val="99"/>
    <w:unhideWhenUsed/>
    <w:rsid w:val="00B04EF2"/>
  </w:style>
  <w:style w:type="paragraph" w:styleId="Pidipagina">
    <w:name w:val="footer"/>
    <w:basedOn w:val="Normale"/>
    <w:link w:val="PidipaginaCarattere"/>
    <w:uiPriority w:val="8"/>
    <w:rsid w:val="00B04EF2"/>
    <w:pPr>
      <w:tabs>
        <w:tab w:val="center" w:pos="4320"/>
        <w:tab w:val="right" w:pos="8640"/>
      </w:tabs>
    </w:pPr>
  </w:style>
  <w:style w:type="paragraph" w:customStyle="1" w:styleId="webdate">
    <w:name w:val="_webdate"/>
    <w:basedOn w:val="Normale"/>
    <w:rsid w:val="008C35AF"/>
    <w:pPr>
      <w:tabs>
        <w:tab w:val="left" w:pos="-1440"/>
      </w:tabs>
      <w:outlineLvl w:val="0"/>
    </w:pPr>
    <w:rPr>
      <w:snapToGrid w:val="0"/>
      <w:sz w:val="24"/>
    </w:rPr>
  </w:style>
  <w:style w:type="paragraph" w:customStyle="1" w:styleId="Normal1">
    <w:name w:val="Normal1"/>
    <w:basedOn w:val="Normale"/>
    <w:rsid w:val="008C35AF"/>
    <w:rPr>
      <w:sz w:val="24"/>
    </w:rPr>
  </w:style>
  <w:style w:type="paragraph" w:customStyle="1" w:styleId="Normal2">
    <w:name w:val="Normal2"/>
    <w:basedOn w:val="Normale"/>
    <w:rsid w:val="008C35AF"/>
    <w:rPr>
      <w:sz w:val="24"/>
    </w:rPr>
  </w:style>
  <w:style w:type="paragraph" w:customStyle="1" w:styleId="Normal3">
    <w:name w:val="Normal3"/>
    <w:basedOn w:val="Normale"/>
    <w:rsid w:val="008C35AF"/>
    <w:rPr>
      <w:sz w:val="24"/>
    </w:rPr>
  </w:style>
  <w:style w:type="paragraph" w:customStyle="1" w:styleId="Normal4">
    <w:name w:val="Normal4"/>
    <w:basedOn w:val="Normale"/>
    <w:rsid w:val="008C35AF"/>
    <w:rPr>
      <w:sz w:val="24"/>
    </w:rPr>
  </w:style>
  <w:style w:type="paragraph" w:styleId="Puntoelenco">
    <w:name w:val="List Bullet"/>
    <w:basedOn w:val="Normale"/>
    <w:uiPriority w:val="5"/>
    <w:qFormat/>
    <w:rsid w:val="00B04EF2"/>
    <w:pPr>
      <w:numPr>
        <w:numId w:val="9"/>
      </w:numPr>
    </w:pPr>
  </w:style>
  <w:style w:type="paragraph" w:customStyle="1" w:styleId="webexclude">
    <w:name w:val="_webexclude"/>
    <w:basedOn w:val="Normale"/>
    <w:rsid w:val="00F64B9A"/>
    <w:pPr>
      <w:tabs>
        <w:tab w:val="left" w:pos="-1440"/>
      </w:tabs>
      <w:spacing w:after="240"/>
      <w:jc w:val="center"/>
      <w:outlineLvl w:val="0"/>
    </w:pPr>
    <w:rPr>
      <w:b/>
      <w:snapToGrid w:val="0"/>
      <w:color w:val="009CDE" w:themeColor="accent1"/>
    </w:rPr>
  </w:style>
  <w:style w:type="paragraph" w:customStyle="1" w:styleId="webnumber">
    <w:name w:val="_webnumber"/>
    <w:basedOn w:val="Intestazione"/>
    <w:rsid w:val="00264E22"/>
    <w:pPr>
      <w:tabs>
        <w:tab w:val="clear" w:pos="4320"/>
        <w:tab w:val="clear" w:pos="8640"/>
      </w:tabs>
      <w:spacing w:after="240" w:line="240" w:lineRule="auto"/>
      <w:ind w:left="-1714" w:right="-1195"/>
      <w:jc w:val="right"/>
    </w:pPr>
    <w:rPr>
      <w:color w:val="004C97" w:themeColor="text2"/>
      <w:sz w:val="24"/>
    </w:rPr>
  </w:style>
  <w:style w:type="paragraph" w:customStyle="1" w:styleId="webTextBox">
    <w:name w:val="_webTextBox"/>
    <w:basedOn w:val="Normale"/>
    <w:rsid w:val="008C35AF"/>
    <w:pPr>
      <w:framePr w:w="3744" w:wrap="around" w:vAnchor="page" w:hAnchor="page" w:x="6337" w:y="4220"/>
      <w:tabs>
        <w:tab w:val="left" w:pos="-1440"/>
      </w:tabs>
      <w:jc w:val="right"/>
    </w:pPr>
    <w:rPr>
      <w:sz w:val="24"/>
    </w:rPr>
  </w:style>
  <w:style w:type="paragraph" w:customStyle="1" w:styleId="webtitle">
    <w:name w:val="_webtitle"/>
    <w:basedOn w:val="Normale"/>
    <w:rsid w:val="00F64B9A"/>
    <w:pPr>
      <w:jc w:val="center"/>
    </w:pPr>
    <w:rPr>
      <w:b/>
      <w:bCs/>
      <w:color w:val="004C97" w:themeColor="text2"/>
      <w:sz w:val="28"/>
      <w:szCs w:val="28"/>
    </w:rPr>
  </w:style>
  <w:style w:type="paragraph" w:customStyle="1" w:styleId="ParagraphNumbering">
    <w:name w:val="Paragraph Numbering"/>
    <w:basedOn w:val="Normale"/>
    <w:link w:val="ParagraphNumberingChar"/>
    <w:uiPriority w:val="1"/>
    <w:qFormat/>
    <w:rsid w:val="00B04EF2"/>
    <w:pPr>
      <w:numPr>
        <w:numId w:val="4"/>
      </w:numPr>
    </w:pPr>
  </w:style>
  <w:style w:type="paragraph" w:styleId="Testofumetto">
    <w:name w:val="Balloon Text"/>
    <w:basedOn w:val="Normale"/>
    <w:link w:val="TestofumettoCarattere"/>
    <w:rsid w:val="008249A4"/>
    <w:rPr>
      <w:rFonts w:ascii="Tahoma" w:hAnsi="Tahoma" w:cs="Tahoma"/>
      <w:sz w:val="16"/>
      <w:szCs w:val="16"/>
    </w:rPr>
  </w:style>
  <w:style w:type="character" w:customStyle="1" w:styleId="TestofumettoCarattere">
    <w:name w:val="Testo fumetto Carattere"/>
    <w:basedOn w:val="Carpredefinitoparagrafo"/>
    <w:link w:val="Testofumetto"/>
    <w:rsid w:val="008249A4"/>
    <w:rPr>
      <w:rFonts w:ascii="Tahoma" w:hAnsi="Tahoma" w:cs="Tahoma"/>
      <w:sz w:val="16"/>
      <w:szCs w:val="16"/>
    </w:rPr>
  </w:style>
  <w:style w:type="paragraph" w:customStyle="1" w:styleId="Appendix">
    <w:name w:val="Appendix"/>
    <w:basedOn w:val="Normale"/>
    <w:uiPriority w:val="8"/>
    <w:qFormat/>
    <w:rsid w:val="00B04EF2"/>
    <w:pPr>
      <w:jc w:val="center"/>
    </w:pPr>
    <w:rPr>
      <w:b/>
    </w:rPr>
  </w:style>
  <w:style w:type="paragraph" w:styleId="Corpotesto">
    <w:name w:val="Body Text"/>
    <w:basedOn w:val="Normale"/>
    <w:link w:val="CorpotestoCarattere"/>
    <w:uiPriority w:val="8"/>
    <w:rsid w:val="00B04EF2"/>
    <w:pPr>
      <w:spacing w:after="120"/>
    </w:pPr>
  </w:style>
  <w:style w:type="character" w:customStyle="1" w:styleId="CorpotestoCarattere">
    <w:name w:val="Corpo testo Carattere"/>
    <w:basedOn w:val="Carpredefinitoparagrafo"/>
    <w:link w:val="Corpotesto"/>
    <w:uiPriority w:val="8"/>
    <w:rsid w:val="00B04EF2"/>
    <w:rPr>
      <w:rFonts w:ascii="Arial" w:eastAsiaTheme="minorHAnsi" w:hAnsi="Arial"/>
      <w:szCs w:val="24"/>
    </w:rPr>
  </w:style>
  <w:style w:type="character" w:customStyle="1" w:styleId="PidipaginaCarattere">
    <w:name w:val="Piè di pagina Carattere"/>
    <w:basedOn w:val="Carpredefinitoparagrafo"/>
    <w:link w:val="Pidipagina"/>
    <w:uiPriority w:val="8"/>
    <w:rsid w:val="00B04EF2"/>
    <w:rPr>
      <w:rFonts w:ascii="Arial" w:eastAsiaTheme="minorHAnsi" w:hAnsi="Arial"/>
      <w:szCs w:val="24"/>
    </w:rPr>
  </w:style>
  <w:style w:type="character" w:styleId="Rimandonotaapidipagina">
    <w:name w:val="footnote reference"/>
    <w:basedOn w:val="Carpredefinitoparagrafo"/>
    <w:uiPriority w:val="8"/>
    <w:rsid w:val="00264E22"/>
    <w:rPr>
      <w:rFonts w:ascii="Arial" w:hAnsi="Arial"/>
      <w:sz w:val="14"/>
      <w:vertAlign w:val="superscript"/>
    </w:rPr>
  </w:style>
  <w:style w:type="paragraph" w:styleId="Testonotaapidipagina">
    <w:name w:val="footnote text"/>
    <w:basedOn w:val="Normale"/>
    <w:link w:val="TestonotaapidipaginaCarattere"/>
    <w:uiPriority w:val="8"/>
    <w:rsid w:val="00264E22"/>
    <w:pPr>
      <w:spacing w:after="90" w:line="240" w:lineRule="auto"/>
    </w:pPr>
    <w:rPr>
      <w:sz w:val="14"/>
      <w:szCs w:val="20"/>
    </w:rPr>
  </w:style>
  <w:style w:type="character" w:customStyle="1" w:styleId="TestonotaapidipaginaCarattere">
    <w:name w:val="Testo nota a piè di pagina Carattere"/>
    <w:basedOn w:val="Carpredefinitoparagrafo"/>
    <w:link w:val="Testonotaapidipagina"/>
    <w:uiPriority w:val="8"/>
    <w:rsid w:val="00264E22"/>
    <w:rPr>
      <w:rFonts w:ascii="Arial" w:eastAsiaTheme="minorHAnsi" w:hAnsi="Arial"/>
      <w:sz w:val="14"/>
    </w:rPr>
  </w:style>
  <w:style w:type="character" w:customStyle="1" w:styleId="IntestazioneCarattere">
    <w:name w:val="Intestazione Carattere"/>
    <w:basedOn w:val="Carpredefinitoparagrafo"/>
    <w:link w:val="Intestazione"/>
    <w:uiPriority w:val="99"/>
    <w:rsid w:val="00B04EF2"/>
    <w:rPr>
      <w:rFonts w:ascii="Arial" w:eastAsiaTheme="minorHAnsi" w:hAnsi="Arial"/>
      <w:szCs w:val="24"/>
    </w:rPr>
  </w:style>
  <w:style w:type="character" w:customStyle="1" w:styleId="Titolo1Carattere">
    <w:name w:val="Titolo 1 Carattere"/>
    <w:link w:val="Titolo1"/>
    <w:uiPriority w:val="1"/>
    <w:rsid w:val="00B04EF2"/>
    <w:rPr>
      <w:rFonts w:ascii="Arial" w:eastAsia="Century Gothic" w:hAnsi="Arial" w:cs="Arial"/>
      <w:color w:val="808080" w:themeColor="background1" w:themeShade="80"/>
      <w:spacing w:val="2"/>
      <w:sz w:val="42"/>
      <w:szCs w:val="42"/>
    </w:rPr>
  </w:style>
  <w:style w:type="character" w:customStyle="1" w:styleId="Titolo2Carattere">
    <w:name w:val="Titolo 2 Carattere"/>
    <w:link w:val="Titolo2"/>
    <w:uiPriority w:val="1"/>
    <w:rsid w:val="00B04EF2"/>
    <w:rPr>
      <w:rFonts w:ascii="Arial" w:eastAsia="Century Gothic" w:hAnsi="Arial" w:cs="Arial (Body)"/>
      <w:b/>
      <w:caps/>
      <w:color w:val="009CDE"/>
    </w:rPr>
  </w:style>
  <w:style w:type="character" w:customStyle="1" w:styleId="Titolo3Carattere">
    <w:name w:val="Titolo 3 Carattere"/>
    <w:basedOn w:val="Carpredefinitoparagrafo"/>
    <w:link w:val="Titolo3"/>
    <w:uiPriority w:val="3"/>
    <w:rsid w:val="007711D3"/>
    <w:rPr>
      <w:rFonts w:ascii="Arial" w:eastAsiaTheme="majorEastAsia" w:hAnsi="Arial" w:cstheme="majorBidi"/>
      <w:caps/>
      <w:color w:val="707372"/>
    </w:rPr>
  </w:style>
  <w:style w:type="character" w:customStyle="1" w:styleId="Titolo4Carattere">
    <w:name w:val="Titolo 4 Carattere"/>
    <w:basedOn w:val="Carpredefinitoparagrafo"/>
    <w:link w:val="Titolo4"/>
    <w:uiPriority w:val="3"/>
    <w:rsid w:val="007711D3"/>
    <w:rPr>
      <w:rFonts w:ascii="Arial" w:eastAsiaTheme="minorHAnsi" w:hAnsi="Arial"/>
      <w:b/>
      <w:bCs/>
      <w:i/>
      <w:szCs w:val="28"/>
    </w:rPr>
  </w:style>
  <w:style w:type="character" w:customStyle="1" w:styleId="Titolo5Carattere">
    <w:name w:val="Titolo 5 Carattere"/>
    <w:basedOn w:val="Carpredefinitoparagrafo"/>
    <w:link w:val="Titolo5"/>
    <w:uiPriority w:val="13"/>
    <w:rsid w:val="00B04EF2"/>
    <w:rPr>
      <w:rFonts w:ascii="Arial" w:eastAsiaTheme="minorHAnsi" w:hAnsi="Arial"/>
      <w:bCs/>
      <w:i/>
      <w:iCs/>
      <w:szCs w:val="26"/>
    </w:rPr>
  </w:style>
  <w:style w:type="character" w:customStyle="1" w:styleId="Titolo6Carattere">
    <w:name w:val="Titolo 6 Carattere"/>
    <w:basedOn w:val="Carpredefinitoparagrafo"/>
    <w:link w:val="Titolo6"/>
    <w:uiPriority w:val="8"/>
    <w:rsid w:val="00B04EF2"/>
    <w:rPr>
      <w:rFonts w:ascii="Arial" w:eastAsiaTheme="minorHAnsi" w:hAnsi="Arial"/>
      <w:bCs/>
      <w:szCs w:val="22"/>
    </w:rPr>
  </w:style>
  <w:style w:type="character" w:customStyle="1" w:styleId="Titolo7Carattere">
    <w:name w:val="Titolo 7 Carattere"/>
    <w:basedOn w:val="Carpredefinitoparagrafo"/>
    <w:link w:val="Titolo7"/>
    <w:uiPriority w:val="8"/>
    <w:rsid w:val="00B04EF2"/>
    <w:rPr>
      <w:rFonts w:ascii="Arial" w:eastAsiaTheme="minorHAnsi" w:hAnsi="Arial"/>
      <w:szCs w:val="24"/>
    </w:rPr>
  </w:style>
  <w:style w:type="character" w:customStyle="1" w:styleId="Titolo8Carattere">
    <w:name w:val="Titolo 8 Carattere"/>
    <w:basedOn w:val="Carpredefinitoparagrafo"/>
    <w:link w:val="Titolo8"/>
    <w:uiPriority w:val="8"/>
    <w:rsid w:val="00B04EF2"/>
    <w:rPr>
      <w:rFonts w:ascii="Arial" w:eastAsiaTheme="minorHAnsi" w:hAnsi="Arial"/>
      <w:iCs/>
      <w:szCs w:val="24"/>
    </w:rPr>
  </w:style>
  <w:style w:type="character" w:customStyle="1" w:styleId="Titolo9Carattere">
    <w:name w:val="Titolo 9 Carattere"/>
    <w:basedOn w:val="Carpredefinitoparagrafo"/>
    <w:link w:val="Titolo9"/>
    <w:uiPriority w:val="8"/>
    <w:rsid w:val="00B04EF2"/>
    <w:rPr>
      <w:rFonts w:ascii="Arial" w:eastAsiaTheme="minorHAnsi" w:hAnsi="Arial" w:cs="Arial"/>
      <w:szCs w:val="22"/>
    </w:rPr>
  </w:style>
  <w:style w:type="paragraph" w:customStyle="1" w:styleId="Indent">
    <w:name w:val="Indent"/>
    <w:basedOn w:val="Normale"/>
    <w:uiPriority w:val="8"/>
    <w:qFormat/>
    <w:rsid w:val="00B04EF2"/>
    <w:pPr>
      <w:ind w:left="720" w:hanging="720"/>
    </w:pPr>
  </w:style>
  <w:style w:type="paragraph" w:styleId="Indice1">
    <w:name w:val="index 1"/>
    <w:basedOn w:val="Normale"/>
    <w:next w:val="Normale"/>
    <w:uiPriority w:val="8"/>
    <w:rsid w:val="00B04EF2"/>
    <w:pPr>
      <w:ind w:left="240" w:hanging="240"/>
    </w:pPr>
  </w:style>
  <w:style w:type="paragraph" w:styleId="Indice2">
    <w:name w:val="index 2"/>
    <w:basedOn w:val="Normale"/>
    <w:next w:val="Normale"/>
    <w:uiPriority w:val="8"/>
    <w:rsid w:val="00B04EF2"/>
    <w:pPr>
      <w:ind w:left="480" w:hanging="240"/>
    </w:pPr>
  </w:style>
  <w:style w:type="paragraph" w:styleId="Indice3">
    <w:name w:val="index 3"/>
    <w:basedOn w:val="Normale"/>
    <w:next w:val="Normale"/>
    <w:uiPriority w:val="8"/>
    <w:rsid w:val="00B04EF2"/>
    <w:pPr>
      <w:ind w:left="720" w:hanging="240"/>
    </w:pPr>
  </w:style>
  <w:style w:type="paragraph" w:styleId="Indice4">
    <w:name w:val="index 4"/>
    <w:basedOn w:val="Normale"/>
    <w:next w:val="Normale"/>
    <w:uiPriority w:val="8"/>
    <w:rsid w:val="00B04EF2"/>
    <w:pPr>
      <w:ind w:left="960" w:hanging="240"/>
    </w:pPr>
  </w:style>
  <w:style w:type="paragraph" w:styleId="Indice5">
    <w:name w:val="index 5"/>
    <w:basedOn w:val="Normale"/>
    <w:next w:val="Normale"/>
    <w:uiPriority w:val="8"/>
    <w:rsid w:val="00B04EF2"/>
    <w:pPr>
      <w:ind w:left="1200" w:hanging="240"/>
    </w:pPr>
  </w:style>
  <w:style w:type="paragraph" w:styleId="Indice6">
    <w:name w:val="index 6"/>
    <w:basedOn w:val="Normale"/>
    <w:next w:val="Normale"/>
    <w:uiPriority w:val="8"/>
    <w:rsid w:val="00B04EF2"/>
    <w:pPr>
      <w:ind w:left="1440" w:hanging="240"/>
    </w:pPr>
  </w:style>
  <w:style w:type="paragraph" w:styleId="Indice7">
    <w:name w:val="index 7"/>
    <w:basedOn w:val="Normale"/>
    <w:next w:val="Normale"/>
    <w:uiPriority w:val="8"/>
    <w:rsid w:val="00B04EF2"/>
    <w:pPr>
      <w:ind w:left="1680" w:hanging="240"/>
    </w:pPr>
  </w:style>
  <w:style w:type="paragraph" w:styleId="Indice8">
    <w:name w:val="index 8"/>
    <w:basedOn w:val="Normale"/>
    <w:next w:val="Normale"/>
    <w:uiPriority w:val="8"/>
    <w:rsid w:val="00B04EF2"/>
    <w:pPr>
      <w:ind w:left="1920" w:hanging="240"/>
    </w:pPr>
  </w:style>
  <w:style w:type="paragraph" w:styleId="Indice9">
    <w:name w:val="index 9"/>
    <w:basedOn w:val="Normale"/>
    <w:next w:val="Normale"/>
    <w:uiPriority w:val="8"/>
    <w:rsid w:val="00B04EF2"/>
    <w:pPr>
      <w:ind w:left="2160" w:hanging="240"/>
    </w:pPr>
  </w:style>
  <w:style w:type="paragraph" w:styleId="Puntoelenco2">
    <w:name w:val="List Bullet 2"/>
    <w:basedOn w:val="Normale"/>
    <w:uiPriority w:val="8"/>
    <w:rsid w:val="00B04EF2"/>
    <w:pPr>
      <w:numPr>
        <w:numId w:val="11"/>
      </w:numPr>
    </w:pPr>
  </w:style>
  <w:style w:type="paragraph" w:styleId="Puntoelenco3">
    <w:name w:val="List Bullet 3"/>
    <w:basedOn w:val="Normale"/>
    <w:uiPriority w:val="8"/>
    <w:rsid w:val="00B04EF2"/>
    <w:pPr>
      <w:numPr>
        <w:numId w:val="13"/>
      </w:numPr>
    </w:pPr>
  </w:style>
  <w:style w:type="paragraph" w:styleId="Puntoelenco4">
    <w:name w:val="List Bullet 4"/>
    <w:basedOn w:val="Normale"/>
    <w:uiPriority w:val="8"/>
    <w:rsid w:val="00B04EF2"/>
    <w:pPr>
      <w:numPr>
        <w:numId w:val="15"/>
      </w:numPr>
    </w:pPr>
  </w:style>
  <w:style w:type="paragraph" w:styleId="Puntoelenco5">
    <w:name w:val="List Bullet 5"/>
    <w:basedOn w:val="Normale"/>
    <w:uiPriority w:val="8"/>
    <w:rsid w:val="00B04EF2"/>
    <w:pPr>
      <w:numPr>
        <w:numId w:val="17"/>
      </w:numPr>
    </w:pPr>
  </w:style>
  <w:style w:type="paragraph" w:styleId="Numeroelenco">
    <w:name w:val="List Number"/>
    <w:basedOn w:val="Normale"/>
    <w:uiPriority w:val="8"/>
    <w:rsid w:val="00B04EF2"/>
    <w:pPr>
      <w:numPr>
        <w:numId w:val="19"/>
      </w:numPr>
      <w:contextualSpacing/>
    </w:pPr>
  </w:style>
  <w:style w:type="paragraph" w:styleId="Paragrafoelenco">
    <w:name w:val="List Paragraph"/>
    <w:basedOn w:val="Normale"/>
    <w:uiPriority w:val="3"/>
    <w:qFormat/>
    <w:rsid w:val="00B04EF2"/>
    <w:pPr>
      <w:numPr>
        <w:numId w:val="20"/>
      </w:numPr>
      <w:snapToGrid w:val="0"/>
      <w:contextualSpacing/>
    </w:pPr>
    <w:rPr>
      <w:rFonts w:eastAsia="Century Gothic" w:cs="Arial"/>
      <w:color w:val="000000" w:themeColor="text1"/>
      <w:szCs w:val="22"/>
    </w:rPr>
  </w:style>
  <w:style w:type="paragraph" w:customStyle="1" w:styleId="Objective">
    <w:name w:val="Objective"/>
    <w:basedOn w:val="Normale"/>
    <w:rsid w:val="00B04EF2"/>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B04EF2"/>
    <w:rPr>
      <w:color w:val="004C97" w:themeColor="text2"/>
    </w:rPr>
  </w:style>
  <w:style w:type="character" w:customStyle="1" w:styleId="StrongDKB">
    <w:name w:val="Strong DKB"/>
    <w:uiPriority w:val="2"/>
    <w:qFormat/>
    <w:rsid w:val="00B04EF2"/>
    <w:rPr>
      <w:rFonts w:ascii="Arial Black" w:hAnsi="Arial Black"/>
      <w:b w:val="0"/>
      <w:bCs/>
      <w:i w:val="0"/>
      <w:color w:val="004C97" w:themeColor="text2"/>
    </w:rPr>
  </w:style>
  <w:style w:type="character" w:customStyle="1" w:styleId="StrongMDB">
    <w:name w:val="Strong MDB"/>
    <w:uiPriority w:val="2"/>
    <w:qFormat/>
    <w:rsid w:val="00B04EF2"/>
    <w:rPr>
      <w:b/>
      <w:bCs/>
      <w:color w:val="009CDE" w:themeColor="accent1"/>
    </w:rPr>
  </w:style>
  <w:style w:type="paragraph" w:styleId="Titolo">
    <w:name w:val="Title"/>
    <w:basedOn w:val="Normale"/>
    <w:link w:val="TitoloCarattere"/>
    <w:uiPriority w:val="8"/>
    <w:rsid w:val="00B04EF2"/>
    <w:pPr>
      <w:spacing w:before="240" w:after="60"/>
      <w:jc w:val="center"/>
      <w:outlineLvl w:val="0"/>
    </w:pPr>
    <w:rPr>
      <w:rFonts w:cs="Arial"/>
      <w:b/>
      <w:bCs/>
      <w:kern w:val="28"/>
      <w:sz w:val="32"/>
      <w:szCs w:val="32"/>
    </w:rPr>
  </w:style>
  <w:style w:type="character" w:customStyle="1" w:styleId="TitoloCarattere">
    <w:name w:val="Titolo Carattere"/>
    <w:basedOn w:val="Carpredefinitoparagrafo"/>
    <w:link w:val="Titolo"/>
    <w:uiPriority w:val="8"/>
    <w:rsid w:val="00B04EF2"/>
    <w:rPr>
      <w:rFonts w:ascii="Arial" w:eastAsiaTheme="minorHAnsi" w:hAnsi="Arial" w:cs="Arial"/>
      <w:b/>
      <w:bCs/>
      <w:kern w:val="28"/>
      <w:sz w:val="32"/>
      <w:szCs w:val="32"/>
    </w:rPr>
  </w:style>
  <w:style w:type="paragraph" w:styleId="Sommario1">
    <w:name w:val="toc 1"/>
    <w:basedOn w:val="Normale"/>
    <w:next w:val="Normale"/>
    <w:uiPriority w:val="8"/>
    <w:rsid w:val="00B04EF2"/>
  </w:style>
  <w:style w:type="paragraph" w:styleId="Sommario2">
    <w:name w:val="toc 2"/>
    <w:basedOn w:val="Normale"/>
    <w:next w:val="Normale"/>
    <w:uiPriority w:val="8"/>
    <w:rsid w:val="00B04EF2"/>
    <w:pPr>
      <w:ind w:left="240"/>
    </w:pPr>
  </w:style>
  <w:style w:type="paragraph" w:styleId="Sommario3">
    <w:name w:val="toc 3"/>
    <w:basedOn w:val="Normale"/>
    <w:next w:val="Normale"/>
    <w:uiPriority w:val="8"/>
    <w:rsid w:val="00B04EF2"/>
    <w:pPr>
      <w:ind w:left="480"/>
    </w:pPr>
  </w:style>
  <w:style w:type="paragraph" w:styleId="Sommario4">
    <w:name w:val="toc 4"/>
    <w:basedOn w:val="Normale"/>
    <w:next w:val="Normale"/>
    <w:uiPriority w:val="8"/>
    <w:rsid w:val="00B04EF2"/>
    <w:pPr>
      <w:ind w:left="720"/>
    </w:pPr>
  </w:style>
  <w:style w:type="paragraph" w:styleId="Sommario5">
    <w:name w:val="toc 5"/>
    <w:basedOn w:val="Normale"/>
    <w:next w:val="Normale"/>
    <w:uiPriority w:val="8"/>
    <w:rsid w:val="00B04EF2"/>
    <w:pPr>
      <w:ind w:left="960"/>
    </w:pPr>
  </w:style>
  <w:style w:type="paragraph" w:styleId="Sommario6">
    <w:name w:val="toc 6"/>
    <w:basedOn w:val="Normale"/>
    <w:next w:val="Normale"/>
    <w:uiPriority w:val="8"/>
    <w:rsid w:val="00B04EF2"/>
    <w:pPr>
      <w:ind w:left="1200"/>
    </w:pPr>
  </w:style>
  <w:style w:type="paragraph" w:styleId="Sommario7">
    <w:name w:val="toc 7"/>
    <w:basedOn w:val="Normale"/>
    <w:next w:val="Normale"/>
    <w:uiPriority w:val="8"/>
    <w:rsid w:val="00B04EF2"/>
    <w:pPr>
      <w:ind w:left="1440"/>
    </w:pPr>
  </w:style>
  <w:style w:type="paragraph" w:styleId="Sommario8">
    <w:name w:val="toc 8"/>
    <w:basedOn w:val="Normale"/>
    <w:next w:val="Normale"/>
    <w:uiPriority w:val="8"/>
    <w:rsid w:val="00B04EF2"/>
    <w:pPr>
      <w:ind w:left="1680"/>
    </w:pPr>
  </w:style>
  <w:style w:type="paragraph" w:styleId="Sommario9">
    <w:name w:val="toc 9"/>
    <w:basedOn w:val="Normale"/>
    <w:next w:val="Normale"/>
    <w:uiPriority w:val="8"/>
    <w:rsid w:val="00B04EF2"/>
    <w:pPr>
      <w:ind w:left="1920"/>
    </w:pPr>
  </w:style>
  <w:style w:type="paragraph" w:customStyle="1" w:styleId="UnNumberedHeading1">
    <w:name w:val="UnNumbered Heading 1"/>
    <w:basedOn w:val="Normale"/>
    <w:next w:val="Normale"/>
    <w:uiPriority w:val="8"/>
    <w:rsid w:val="00B04EF2"/>
    <w:pPr>
      <w:jc w:val="center"/>
    </w:pPr>
    <w:rPr>
      <w:b/>
      <w:smallCaps/>
    </w:rPr>
  </w:style>
  <w:style w:type="paragraph" w:customStyle="1" w:styleId="Stylewebtitle14ptBoldAccent1CenteredBefore0ptA">
    <w:name w:val="Style _webtitle + 14 pt Bold Accent 1 Centered Before:  0 pt A..."/>
    <w:basedOn w:val="Normale"/>
    <w:rsid w:val="00415F22"/>
    <w:pPr>
      <w:tabs>
        <w:tab w:val="left" w:pos="-1440"/>
      </w:tabs>
      <w:spacing w:after="120"/>
      <w:jc w:val="center"/>
      <w:outlineLvl w:val="0"/>
    </w:pPr>
    <w:rPr>
      <w:bCs/>
      <w:snapToGrid w:val="0"/>
      <w:color w:val="009CDE" w:themeColor="accent1"/>
      <w:sz w:val="28"/>
      <w:szCs w:val="28"/>
    </w:rPr>
  </w:style>
  <w:style w:type="character" w:styleId="Testosegnaposto">
    <w:name w:val="Placeholder Text"/>
    <w:basedOn w:val="Carpredefinitoparagrafo"/>
    <w:uiPriority w:val="99"/>
    <w:semiHidden/>
    <w:rsid w:val="001304F6"/>
    <w:rPr>
      <w:color w:val="808080"/>
    </w:rPr>
  </w:style>
  <w:style w:type="character" w:styleId="Collegamentoipertestuale">
    <w:name w:val="Hyperlink"/>
    <w:basedOn w:val="Carpredefinitoparagrafo"/>
    <w:uiPriority w:val="99"/>
    <w:unhideWhenUsed/>
    <w:rsid w:val="00071C86"/>
    <w:rPr>
      <w:color w:val="009CDE" w:themeColor="hyperlink"/>
      <w:u w:val="single"/>
    </w:rPr>
  </w:style>
  <w:style w:type="character" w:customStyle="1" w:styleId="UnresolvedMention">
    <w:name w:val="Unresolved Mention"/>
    <w:basedOn w:val="Carpredefinitoparagrafo"/>
    <w:uiPriority w:val="99"/>
    <w:semiHidden/>
    <w:unhideWhenUsed/>
    <w:rsid w:val="00071C86"/>
    <w:rPr>
      <w:color w:val="605E5C"/>
      <w:shd w:val="clear" w:color="auto" w:fill="E1DFDD"/>
    </w:rPr>
  </w:style>
  <w:style w:type="table" w:styleId="Grigliatabella">
    <w:name w:val="Table Grid"/>
    <w:basedOn w:val="Tabellanormale"/>
    <w:rsid w:val="00AE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e"/>
    <w:uiPriority w:val="2"/>
    <w:qFormat/>
    <w:rsid w:val="0014077A"/>
    <w:pPr>
      <w:spacing w:after="120" w:line="240" w:lineRule="auto"/>
    </w:pPr>
    <w:rPr>
      <w:rFonts w:eastAsia="MS Mincho" w:cs="Segoe UI"/>
      <w:sz w:val="18"/>
    </w:rPr>
  </w:style>
  <w:style w:type="paragraph" w:styleId="NormaleWeb">
    <w:name w:val="Normal (Web)"/>
    <w:basedOn w:val="Normale"/>
    <w:uiPriority w:val="99"/>
    <w:unhideWhenUsed/>
    <w:rsid w:val="000B0245"/>
    <w:pPr>
      <w:spacing w:before="100" w:beforeAutospacing="1" w:after="100" w:afterAutospacing="1" w:line="240" w:lineRule="auto"/>
    </w:pPr>
    <w:rPr>
      <w:rFonts w:ascii="Calibri" w:hAnsi="Calibri" w:cs="Calibri"/>
      <w:sz w:val="22"/>
      <w:szCs w:val="22"/>
    </w:rPr>
  </w:style>
  <w:style w:type="character" w:styleId="Enfasicorsivo">
    <w:name w:val="Emphasis"/>
    <w:basedOn w:val="Carpredefinitoparagrafo"/>
    <w:uiPriority w:val="20"/>
    <w:qFormat/>
    <w:rsid w:val="000B0245"/>
    <w:rPr>
      <w:i/>
      <w:iCs/>
    </w:rPr>
  </w:style>
  <w:style w:type="character" w:customStyle="1" w:styleId="ParagraphNumberingChar">
    <w:name w:val="Paragraph Numbering Char"/>
    <w:link w:val="ParagraphNumbering"/>
    <w:uiPriority w:val="1"/>
    <w:locked/>
    <w:rsid w:val="003E63E9"/>
    <w:rPr>
      <w:rFonts w:ascii="Arial" w:eastAsiaTheme="minorHAnsi" w:hAnsi="Arial"/>
      <w:szCs w:val="24"/>
    </w:rPr>
  </w:style>
  <w:style w:type="paragraph" w:styleId="Revisione">
    <w:name w:val="Revision"/>
    <w:hidden/>
    <w:uiPriority w:val="99"/>
    <w:semiHidden/>
    <w:rsid w:val="007D0FD3"/>
    <w:rPr>
      <w:rFonts w:ascii="Arial" w:eastAsiaTheme="minorHAnsi" w:hAnsi="Arial"/>
      <w:szCs w:val="24"/>
    </w:rPr>
  </w:style>
  <w:style w:type="character" w:styleId="Rimandocommento">
    <w:name w:val="annotation reference"/>
    <w:basedOn w:val="Carpredefinitoparagrafo"/>
    <w:semiHidden/>
    <w:unhideWhenUsed/>
    <w:rsid w:val="001D1411"/>
    <w:rPr>
      <w:sz w:val="16"/>
      <w:szCs w:val="16"/>
    </w:rPr>
  </w:style>
  <w:style w:type="paragraph" w:styleId="Testocommento">
    <w:name w:val="annotation text"/>
    <w:basedOn w:val="Normale"/>
    <w:link w:val="TestocommentoCarattere"/>
    <w:unhideWhenUsed/>
    <w:rsid w:val="001D1411"/>
    <w:pPr>
      <w:spacing w:line="240" w:lineRule="auto"/>
    </w:pPr>
    <w:rPr>
      <w:szCs w:val="20"/>
    </w:rPr>
  </w:style>
  <w:style w:type="character" w:customStyle="1" w:styleId="TestocommentoCarattere">
    <w:name w:val="Testo commento Carattere"/>
    <w:basedOn w:val="Carpredefinitoparagrafo"/>
    <w:link w:val="Testocommento"/>
    <w:rsid w:val="001D1411"/>
    <w:rPr>
      <w:rFonts w:ascii="Arial" w:eastAsiaTheme="minorHAnsi" w:hAnsi="Arial"/>
    </w:rPr>
  </w:style>
  <w:style w:type="paragraph" w:styleId="Soggettocommento">
    <w:name w:val="annotation subject"/>
    <w:basedOn w:val="Testocommento"/>
    <w:next w:val="Testocommento"/>
    <w:link w:val="SoggettocommentoCarattere"/>
    <w:semiHidden/>
    <w:unhideWhenUsed/>
    <w:rsid w:val="001D1411"/>
    <w:rPr>
      <w:b/>
      <w:bCs/>
    </w:rPr>
  </w:style>
  <w:style w:type="character" w:customStyle="1" w:styleId="SoggettocommentoCarattere">
    <w:name w:val="Soggetto commento Carattere"/>
    <w:basedOn w:val="TestocommentoCarattere"/>
    <w:link w:val="Soggettocommento"/>
    <w:semiHidden/>
    <w:rsid w:val="001D1411"/>
    <w:rPr>
      <w:rFonts w:ascii="Arial" w:eastAsiaTheme="minorHAns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9368">
      <w:bodyDiv w:val="1"/>
      <w:marLeft w:val="0"/>
      <w:marRight w:val="0"/>
      <w:marTop w:val="0"/>
      <w:marBottom w:val="0"/>
      <w:divBdr>
        <w:top w:val="none" w:sz="0" w:space="0" w:color="auto"/>
        <w:left w:val="none" w:sz="0" w:space="0" w:color="auto"/>
        <w:bottom w:val="none" w:sz="0" w:space="0" w:color="auto"/>
        <w:right w:val="none" w:sz="0" w:space="0" w:color="auto"/>
      </w:divBdr>
    </w:div>
    <w:div w:id="570457965">
      <w:bodyDiv w:val="1"/>
      <w:marLeft w:val="0"/>
      <w:marRight w:val="0"/>
      <w:marTop w:val="0"/>
      <w:marBottom w:val="0"/>
      <w:divBdr>
        <w:top w:val="none" w:sz="0" w:space="0" w:color="auto"/>
        <w:left w:val="none" w:sz="0" w:space="0" w:color="auto"/>
        <w:bottom w:val="none" w:sz="0" w:space="0" w:color="auto"/>
        <w:right w:val="none" w:sz="0" w:space="0" w:color="auto"/>
      </w:divBdr>
    </w:div>
    <w:div w:id="949163623">
      <w:bodyDiv w:val="1"/>
      <w:marLeft w:val="0"/>
      <w:marRight w:val="0"/>
      <w:marTop w:val="0"/>
      <w:marBottom w:val="0"/>
      <w:divBdr>
        <w:top w:val="none" w:sz="0" w:space="0" w:color="auto"/>
        <w:left w:val="none" w:sz="0" w:space="0" w:color="auto"/>
        <w:bottom w:val="none" w:sz="0" w:space="0" w:color="auto"/>
        <w:right w:val="none" w:sz="0" w:space="0" w:color="auto"/>
      </w:divBdr>
    </w:div>
    <w:div w:id="1554736112">
      <w:bodyDiv w:val="1"/>
      <w:marLeft w:val="0"/>
      <w:marRight w:val="0"/>
      <w:marTop w:val="0"/>
      <w:marBottom w:val="0"/>
      <w:divBdr>
        <w:top w:val="none" w:sz="0" w:space="0" w:color="auto"/>
        <w:left w:val="none" w:sz="0" w:space="0" w:color="auto"/>
        <w:bottom w:val="none" w:sz="0" w:space="0" w:color="auto"/>
        <w:right w:val="none" w:sz="0" w:space="0" w:color="auto"/>
      </w:divBdr>
    </w:div>
    <w:div w:id="20094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f.org/external/pubs/ft/aa/index.ht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d%20templates\IMF%20Templates\Concluding%20Stmt.dotm" TargetMode="Externa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ADDAB9079034AB6F63B580C5B620A" ma:contentTypeVersion="17" ma:contentTypeDescription="Create a new document." ma:contentTypeScope="" ma:versionID="d7b1bedc5fbabcbc0a4c5969ab30699e">
  <xsd:schema xmlns:xsd="http://www.w3.org/2001/XMLSchema" xmlns:xs="http://www.w3.org/2001/XMLSchema" xmlns:p="http://schemas.microsoft.com/office/2006/metadata/properties" xmlns:ns2="6123d145-15f9-4533-b283-f26f35aed326" xmlns:ns3="f0ffe985-48b2-46b4-8cc5-936a3a86543b" targetNamespace="http://schemas.microsoft.com/office/2006/metadata/properties" ma:root="true" ma:fieldsID="1dd781f03658f78da50b42989c5d21c0" ns2:_="" ns3:_="">
    <xsd:import namespace="6123d145-15f9-4533-b283-f26f35aed326"/>
    <xsd:import namespace="f0ffe985-48b2-46b4-8cc5-936a3a865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d145-15f9-4533-b283-f26f35ae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b0229-19ef-4425-8520-9f00e8db62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fe985-48b2-46b4-8cc5-936a3a8654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818b5f-7675-4026-9bba-4b6b01ccb309}" ma:internalName="TaxCatchAll" ma:showField="CatchAllData" ma:web="f0ffe985-48b2-46b4-8cc5-936a3a86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diaLengthInSeconds xmlns="6123d145-15f9-4533-b283-f26f35aed326" xsi:nil="true"/>
    <SharedWithUsers xmlns="f0ffe985-48b2-46b4-8cc5-936a3a86543b">
      <UserInfo>
        <DisplayName/>
        <AccountId xsi:nil="true"/>
        <AccountType/>
      </UserInfo>
    </SharedWithUsers>
    <TaxCatchAll xmlns="f0ffe985-48b2-46b4-8cc5-936a3a86543b" xsi:nil="true"/>
    <lcf76f155ced4ddcb4097134ff3c332f xmlns="6123d145-15f9-4533-b283-f26f35aed32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D7563-CF25-496B-80C0-3BB1C67A8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d145-15f9-4533-b283-f26f35aed326"/>
    <ds:schemaRef ds:uri="f0ffe985-48b2-46b4-8cc5-936a3a86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4F335-BBBA-4B02-B631-AAEFF92623E7}">
  <ds:schemaRefs>
    <ds:schemaRef ds:uri="http://schemas.microsoft.com/sharepoint/v3/contenttype/forms"/>
  </ds:schemaRefs>
</ds:datastoreItem>
</file>

<file path=customXml/itemProps3.xml><?xml version="1.0" encoding="utf-8"?>
<ds:datastoreItem xmlns:ds="http://schemas.openxmlformats.org/officeDocument/2006/customXml" ds:itemID="{66D30F2B-9FAB-47D3-92DB-DB4BBD24A902}">
  <ds:schemaRefs>
    <ds:schemaRef ds:uri="http://schemas.microsoft.com/office/2006/documentManagement/types"/>
    <ds:schemaRef ds:uri="http://schemas.microsoft.com/office/2006/metadata/properties"/>
    <ds:schemaRef ds:uri="http://purl.org/dc/elements/1.1/"/>
    <ds:schemaRef ds:uri="f0ffe985-48b2-46b4-8cc5-936a3a86543b"/>
    <ds:schemaRef ds:uri="6123d145-15f9-4533-b283-f26f35aed326"/>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47F9B35-7BC4-4CBC-871F-F05683B5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Concluding Stmt</Template>
  <TotalTime>0</TotalTime>
  <Pages>6</Pages>
  <Words>2230</Words>
  <Characters>13728</Characters>
  <Application>Microsoft Office Word</Application>
  <DocSecurity>0</DocSecurity>
  <Lines>114</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IMF</Company>
  <LinksUpToDate>false</LinksUpToDate>
  <CharactersWithSpaces>15927</CharactersWithSpaces>
  <SharedDoc>false</SharedDoc>
  <HLinks>
    <vt:vector size="6" baseType="variant">
      <vt:variant>
        <vt:i4>2031705</vt:i4>
      </vt:variant>
      <vt:variant>
        <vt:i4>0</vt:i4>
      </vt:variant>
      <vt:variant>
        <vt:i4>0</vt:i4>
      </vt:variant>
      <vt:variant>
        <vt:i4>5</vt:i4>
      </vt:variant>
      <vt:variant>
        <vt:lpwstr>https://www.imf.org/external/pubs/ft/aa/index.htm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Burova, Marta</dc:creator>
  <cp:keywords>IMF</cp:keywords>
  <dc:description>Template used Fund-wide for producing press releases.</dc:description>
  <cp:lastModifiedBy>laura zanotti</cp:lastModifiedBy>
  <cp:revision>3</cp:revision>
  <cp:lastPrinted>2019-12-26T16:08:00Z</cp:lastPrinted>
  <dcterms:created xsi:type="dcterms:W3CDTF">2023-09-28T09:08:00Z</dcterms:created>
  <dcterms:modified xsi:type="dcterms:W3CDTF">2023-09-28T09:09:00Z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0x010100D2AADDAB9079034AB6F63B580C5B620A</vt:lpwstr>
  </property>
  <property fmtid="{D5CDD505-2E9C-101B-9397-08002B2CF9AE}" pid="3" name="MSIP_Label_0c07ed86-5dc5-4593-ad03-a8684b843815_Enabled">
    <vt:lpwstr>true</vt:lpwstr>
  </property>
  <property fmtid="{D5CDD505-2E9C-101B-9397-08002B2CF9AE}" pid="4" name="MSIP_Label_0c07ed86-5dc5-4593-ad03-a8684b843815_SetDate">
    <vt:lpwstr>2021-09-23T19:10:31Z</vt:lpwstr>
  </property>
  <property fmtid="{D5CDD505-2E9C-101B-9397-08002B2CF9AE}" pid="5" name="MSIP_Label_0c07ed86-5dc5-4593-ad03-a8684b843815_Method">
    <vt:lpwstr>Standard</vt:lpwstr>
  </property>
  <property fmtid="{D5CDD505-2E9C-101B-9397-08002B2CF9AE}" pid="6" name="MSIP_Label_0c07ed86-5dc5-4593-ad03-a8684b843815_Name">
    <vt:lpwstr>0c07ed86-5dc5-4593-ad03-a8684b843815</vt:lpwstr>
  </property>
  <property fmtid="{D5CDD505-2E9C-101B-9397-08002B2CF9AE}" pid="7" name="MSIP_Label_0c07ed86-5dc5-4593-ad03-a8684b843815_SiteId">
    <vt:lpwstr>8085fa43-302e-45bd-b171-a6648c3b6be7</vt:lpwstr>
  </property>
  <property fmtid="{D5CDD505-2E9C-101B-9397-08002B2CF9AE}" pid="8" name="MSIP_Label_0c07ed86-5dc5-4593-ad03-a8684b843815_ActionId">
    <vt:lpwstr>8cb3421c-660d-40fa-a374-43c939296a05</vt:lpwstr>
  </property>
  <property fmtid="{D5CDD505-2E9C-101B-9397-08002B2CF9AE}" pid="9" name="MSIP_Label_0c07ed86-5dc5-4593-ad03-a8684b843815_ContentBits">
    <vt:lpwstr>0</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